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FE0" w:rsidRPr="00B40BD9" w:rsidRDefault="00287FE0" w:rsidP="00B40BD9">
      <w:pPr>
        <w:spacing w:line="276" w:lineRule="auto"/>
        <w:jc w:val="both"/>
        <w:rPr>
          <w:rFonts w:ascii="Georgia" w:eastAsia="Calibri" w:hAnsi="Georgia" w:cs="Times New Roman"/>
          <w:b/>
          <w:noProof/>
          <w:sz w:val="24"/>
          <w:szCs w:val="24"/>
          <w:lang w:val="en-GB" w:eastAsia="en-GB"/>
        </w:rPr>
      </w:pPr>
    </w:p>
    <w:p w:rsidR="00287FE0" w:rsidRPr="00B40BD9" w:rsidRDefault="00287FE0" w:rsidP="00B40BD9">
      <w:pPr>
        <w:spacing w:line="276" w:lineRule="auto"/>
        <w:jc w:val="center"/>
        <w:rPr>
          <w:rFonts w:ascii="Georgia" w:eastAsia="Calibri" w:hAnsi="Georgia" w:cs="Times New Roman"/>
          <w:b/>
          <w:sz w:val="24"/>
          <w:szCs w:val="24"/>
          <w:lang w:val="en-GB"/>
        </w:rPr>
      </w:pPr>
      <w:r w:rsidRPr="00B40BD9">
        <w:rPr>
          <w:rFonts w:ascii="Georgia" w:eastAsia="Calibri" w:hAnsi="Georgia" w:cs="Times New Roman"/>
          <w:b/>
          <w:sz w:val="24"/>
          <w:szCs w:val="24"/>
          <w:lang w:val="en-GB"/>
        </w:rPr>
        <w:t>Bridging the Gap for a Just Energy Transition in Africa</w:t>
      </w:r>
    </w:p>
    <w:p w:rsidR="00287FE0" w:rsidRPr="00B40BD9" w:rsidRDefault="00287FE0" w:rsidP="00B40BD9">
      <w:pPr>
        <w:spacing w:line="276" w:lineRule="auto"/>
        <w:jc w:val="both"/>
        <w:rPr>
          <w:rFonts w:ascii="Georgia" w:eastAsia="Calibri" w:hAnsi="Georgia" w:cs="Times New Roman"/>
          <w:b/>
          <w:sz w:val="24"/>
          <w:szCs w:val="24"/>
          <w:lang w:val="en-GB"/>
        </w:rPr>
      </w:pPr>
    </w:p>
    <w:p w:rsidR="00287FE0" w:rsidRPr="00B40BD9" w:rsidRDefault="00287FE0" w:rsidP="00B40BD9">
      <w:pPr>
        <w:spacing w:line="276" w:lineRule="auto"/>
        <w:jc w:val="both"/>
        <w:rPr>
          <w:rFonts w:ascii="Georgia" w:eastAsia="Calibri" w:hAnsi="Georgia" w:cs="Times New Roman"/>
          <w:b/>
          <w:sz w:val="24"/>
          <w:szCs w:val="24"/>
          <w:lang w:val="en-GB"/>
        </w:rPr>
      </w:pPr>
    </w:p>
    <w:p w:rsidR="007F79B9" w:rsidRPr="00B40BD9" w:rsidRDefault="007F79B9" w:rsidP="00B40BD9">
      <w:pPr>
        <w:spacing w:line="276" w:lineRule="auto"/>
        <w:jc w:val="center"/>
        <w:rPr>
          <w:rFonts w:ascii="Georgia" w:eastAsia="Calibri" w:hAnsi="Georgia" w:cs="Times New Roman"/>
          <w:b/>
          <w:sz w:val="24"/>
          <w:szCs w:val="24"/>
          <w:lang w:val="en-GB"/>
        </w:rPr>
      </w:pPr>
      <w:r w:rsidRPr="00B40BD9">
        <w:rPr>
          <w:rFonts w:ascii="Georgia" w:eastAsia="Calibri" w:hAnsi="Georgia" w:cs="Times New Roman"/>
          <w:b/>
          <w:noProof/>
          <w:sz w:val="24"/>
          <w:szCs w:val="24"/>
          <w:lang w:val="en-GB" w:eastAsia="en-GB"/>
        </w:rPr>
        <w:drawing>
          <wp:inline distT="0" distB="0" distL="0" distR="0">
            <wp:extent cx="5295900" cy="2847975"/>
            <wp:effectExtent l="0" t="0" r="0"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5900" cy="2847975"/>
                    </a:xfrm>
                    <a:prstGeom prst="rect">
                      <a:avLst/>
                    </a:prstGeom>
                    <a:noFill/>
                    <a:ln>
                      <a:noFill/>
                    </a:ln>
                  </pic:spPr>
                </pic:pic>
              </a:graphicData>
            </a:graphic>
          </wp:inline>
        </w:drawing>
      </w:r>
    </w:p>
    <w:p w:rsidR="007F79B9" w:rsidRPr="00B40BD9" w:rsidRDefault="00C956A7" w:rsidP="00B40BD9">
      <w:pPr>
        <w:spacing w:line="276" w:lineRule="auto"/>
        <w:jc w:val="both"/>
        <w:rPr>
          <w:rFonts w:ascii="Georgia" w:eastAsia="Times New Roman" w:hAnsi="Georgia" w:cs="Times New Roman"/>
          <w:i/>
          <w:sz w:val="24"/>
          <w:szCs w:val="24"/>
        </w:rPr>
      </w:pPr>
      <w:r w:rsidRPr="00B40BD9">
        <w:rPr>
          <w:rFonts w:ascii="Georgia" w:eastAsia="Times New Roman" w:hAnsi="Georgia" w:cs="Times New Roman"/>
          <w:i/>
          <w:sz w:val="24"/>
          <w:szCs w:val="24"/>
        </w:rPr>
        <w:t xml:space="preserve">   </w:t>
      </w:r>
      <w:r w:rsidR="007F79B9" w:rsidRPr="00B40BD9">
        <w:rPr>
          <w:rFonts w:ascii="Georgia" w:eastAsia="Times New Roman" w:hAnsi="Georgia" w:cs="Times New Roman"/>
          <w:i/>
          <w:sz w:val="24"/>
          <w:szCs w:val="24"/>
        </w:rPr>
        <w:t>Jerry Ariel: ARIN Intern</w:t>
      </w:r>
    </w:p>
    <w:p w:rsidR="007F79B9" w:rsidRPr="00B40BD9" w:rsidRDefault="00377406" w:rsidP="00B40BD9">
      <w:pPr>
        <w:spacing w:line="276" w:lineRule="auto"/>
        <w:jc w:val="both"/>
        <w:rPr>
          <w:rFonts w:ascii="Georgia" w:eastAsia="Times New Roman" w:hAnsi="Georgia" w:cs="Times New Roman"/>
          <w:sz w:val="24"/>
          <w:szCs w:val="24"/>
          <w:highlight w:val="white"/>
          <w:lang w:val="en-GB"/>
        </w:rPr>
      </w:pPr>
      <w:r w:rsidRPr="00B40BD9">
        <w:rPr>
          <w:rFonts w:ascii="Georgia" w:hAnsi="Georgia" w:cs="Times New Roman"/>
          <w:sz w:val="24"/>
          <w:szCs w:val="24"/>
        </w:rPr>
        <w:t>The global energy sector is undergoing a significant shift towards a low-carbon future. This transition is driven by environmental concerns like climate change and pollution, economic factors such as the decreasing cost of renewable energy technologies and the volatility of fossil fuel prices, and advancements in innovation. This shift not only reduces greenhouse gas emissions but also fosters economic growth through job creation, innovation, and enhanced economic resilience. Additionally, it delivers significant health and environmental benefits that lead to further economic savings.</w:t>
      </w:r>
    </w:p>
    <w:p w:rsidR="007F79B9" w:rsidRPr="00B40BD9" w:rsidRDefault="00377406" w:rsidP="00B40BD9">
      <w:pPr>
        <w:spacing w:before="240" w:after="240" w:line="276" w:lineRule="auto"/>
        <w:jc w:val="both"/>
        <w:rPr>
          <w:rFonts w:ascii="Georgia" w:eastAsia="Times New Roman" w:hAnsi="Georgia" w:cs="Times New Roman"/>
          <w:sz w:val="24"/>
          <w:szCs w:val="24"/>
          <w:highlight w:val="white"/>
          <w:lang w:val="en-GB"/>
        </w:rPr>
      </w:pPr>
      <w:r w:rsidRPr="00B40BD9">
        <w:rPr>
          <w:rFonts w:ascii="Georgia" w:hAnsi="Georgia" w:cs="Times New Roman"/>
          <w:sz w:val="24"/>
          <w:szCs w:val="24"/>
        </w:rPr>
        <w:t xml:space="preserve"> In recent years, Africa has emerged as a key player in the global energy landscape, with a unique set of challenges and opportunities shaping its path towards sustainability. As the world transitions towards low-carbon energy sources, Africa stands at a critical juncture. It has the potential to harness its abundant renewable resources for economic growth and social development. By prioritizing inclusivity, equity, and socio-economic impact, Africa's energy transformation can not only mitigate climate change but also foster resilient and prosperous communities across the continent. However, the journey towards renewable energy is fraught with challenges, requiring innovative approaches, robust financing, and inclusive policies.</w:t>
      </w:r>
    </w:p>
    <w:p w:rsidR="007F79B9" w:rsidRPr="00B40BD9" w:rsidRDefault="007F79B9" w:rsidP="00B40BD9">
      <w:pPr>
        <w:spacing w:before="240" w:after="240" w:line="276" w:lineRule="auto"/>
        <w:jc w:val="both"/>
        <w:rPr>
          <w:rFonts w:ascii="Georgia" w:eastAsia="Times New Roman" w:hAnsi="Georgia" w:cs="Times New Roman"/>
          <w:b/>
          <w:sz w:val="24"/>
          <w:szCs w:val="24"/>
          <w:highlight w:val="white"/>
          <w:lang w:val="en-GB"/>
        </w:rPr>
      </w:pPr>
      <w:r w:rsidRPr="00B40BD9">
        <w:rPr>
          <w:rFonts w:ascii="Georgia" w:eastAsia="Times New Roman" w:hAnsi="Georgia" w:cs="Times New Roman"/>
          <w:b/>
          <w:sz w:val="24"/>
          <w:szCs w:val="24"/>
          <w:highlight w:val="white"/>
          <w:lang w:val="en-GB"/>
        </w:rPr>
        <w:t>Challenges on the Path of Renewable Energy</w:t>
      </w:r>
    </w:p>
    <w:p w:rsidR="007F79B9" w:rsidRPr="00B40BD9" w:rsidRDefault="007F79B9" w:rsidP="00B40BD9">
      <w:pPr>
        <w:spacing w:before="240" w:after="240" w:line="276" w:lineRule="auto"/>
        <w:jc w:val="both"/>
        <w:rPr>
          <w:rFonts w:ascii="Georgia" w:eastAsia="Times New Roman" w:hAnsi="Georgia" w:cs="Times New Roman"/>
          <w:sz w:val="24"/>
          <w:szCs w:val="24"/>
          <w:highlight w:val="white"/>
          <w:lang w:val="en-GB"/>
        </w:rPr>
      </w:pPr>
      <w:r w:rsidRPr="00B40BD9">
        <w:rPr>
          <w:rFonts w:ascii="Georgia" w:eastAsia="Times New Roman" w:hAnsi="Georgia" w:cs="Times New Roman"/>
          <w:sz w:val="24"/>
          <w:szCs w:val="24"/>
          <w:highlight w:val="white"/>
          <w:lang w:val="en-GB"/>
        </w:rPr>
        <w:t xml:space="preserve">Implementing renewable </w:t>
      </w:r>
      <w:r w:rsidR="00377406" w:rsidRPr="00B40BD9">
        <w:rPr>
          <w:rFonts w:ascii="Georgia" w:eastAsia="Times New Roman" w:hAnsi="Georgia" w:cs="Times New Roman"/>
          <w:sz w:val="24"/>
          <w:szCs w:val="24"/>
          <w:highlight w:val="white"/>
          <w:lang w:val="en-GB"/>
        </w:rPr>
        <w:t>energy-related</w:t>
      </w:r>
      <w:r w:rsidRPr="00B40BD9">
        <w:rPr>
          <w:rFonts w:ascii="Georgia" w:eastAsia="Times New Roman" w:hAnsi="Georgia" w:cs="Times New Roman"/>
          <w:sz w:val="24"/>
          <w:szCs w:val="24"/>
          <w:highlight w:val="white"/>
          <w:lang w:val="en-GB"/>
        </w:rPr>
        <w:t xml:space="preserve"> Nationally Determined </w:t>
      </w:r>
      <w:r w:rsidR="00287FE0" w:rsidRPr="00B40BD9">
        <w:rPr>
          <w:rFonts w:ascii="Georgia" w:eastAsia="Times New Roman" w:hAnsi="Georgia" w:cs="Times New Roman"/>
          <w:sz w:val="24"/>
          <w:szCs w:val="24"/>
          <w:highlight w:val="white"/>
          <w:lang w:val="en-GB"/>
        </w:rPr>
        <w:t>Contributions (</w:t>
      </w:r>
      <w:r w:rsidRPr="00B40BD9">
        <w:rPr>
          <w:rFonts w:ascii="Georgia" w:eastAsia="Times New Roman" w:hAnsi="Georgia" w:cs="Times New Roman"/>
          <w:sz w:val="24"/>
          <w:szCs w:val="24"/>
          <w:highlight w:val="white"/>
          <w:lang w:val="en-GB"/>
        </w:rPr>
        <w:t xml:space="preserve">NDCs) in Africa comes with a myriad of challenges. </w:t>
      </w:r>
    </w:p>
    <w:p w:rsidR="00377406" w:rsidRPr="00B40BD9" w:rsidRDefault="00377406" w:rsidP="00B40BD9">
      <w:pPr>
        <w:numPr>
          <w:ilvl w:val="0"/>
          <w:numId w:val="5"/>
        </w:numPr>
        <w:spacing w:before="100" w:beforeAutospacing="1" w:after="100" w:afterAutospacing="1" w:line="276" w:lineRule="auto"/>
        <w:jc w:val="both"/>
        <w:rPr>
          <w:rFonts w:ascii="Georgia" w:eastAsia="Times New Roman" w:hAnsi="Georgia" w:cs="Times New Roman"/>
          <w:sz w:val="24"/>
          <w:szCs w:val="24"/>
        </w:rPr>
      </w:pPr>
      <w:r w:rsidRPr="00B40BD9">
        <w:rPr>
          <w:rFonts w:ascii="Georgia" w:eastAsia="Times New Roman" w:hAnsi="Georgia" w:cs="Times New Roman"/>
          <w:b/>
          <w:bCs/>
          <w:sz w:val="24"/>
          <w:szCs w:val="24"/>
        </w:rPr>
        <w:lastRenderedPageBreak/>
        <w:t>Limited Financial Resources:</w:t>
      </w:r>
      <w:r w:rsidRPr="00B40BD9">
        <w:rPr>
          <w:rFonts w:ascii="Georgia" w:eastAsia="Times New Roman" w:hAnsi="Georgia" w:cs="Times New Roman"/>
          <w:sz w:val="24"/>
          <w:szCs w:val="24"/>
        </w:rPr>
        <w:t xml:space="preserve"> Many African countries struggle to access sufficient funding for NDC implementation. This necessitates innovative financing mechanisms to mobilize additional resources and bridge the funding gap. A common theme is that countries often receive less funding than negotiated, and even those funds may not always arrive. Additionally, the application process for all types of funding, from small loans to large grants, can be rigorous and labor-intensive, making it difficult for African countries to access and utilize climate financing.</w:t>
      </w:r>
    </w:p>
    <w:p w:rsidR="00A50AE6" w:rsidRPr="00B40BD9" w:rsidRDefault="007F79B9" w:rsidP="00B40BD9">
      <w:pPr>
        <w:numPr>
          <w:ilvl w:val="0"/>
          <w:numId w:val="5"/>
        </w:numPr>
        <w:spacing w:before="100" w:beforeAutospacing="1" w:after="100" w:afterAutospacing="1" w:line="276" w:lineRule="auto"/>
        <w:jc w:val="both"/>
        <w:rPr>
          <w:rFonts w:ascii="Georgia" w:eastAsia="Times New Roman" w:hAnsi="Georgia" w:cs="Times New Roman"/>
          <w:sz w:val="24"/>
          <w:szCs w:val="24"/>
        </w:rPr>
      </w:pPr>
      <w:r w:rsidRPr="00B40BD9">
        <w:rPr>
          <w:rFonts w:ascii="Georgia" w:eastAsia="Times New Roman" w:hAnsi="Georgia" w:cs="Times New Roman"/>
          <w:sz w:val="24"/>
          <w:szCs w:val="24"/>
          <w:highlight w:val="white"/>
          <w:lang w:val="en-GB"/>
        </w:rPr>
        <w:t xml:space="preserve">. </w:t>
      </w:r>
      <w:r w:rsidR="00A50AE6" w:rsidRPr="00B40BD9">
        <w:rPr>
          <w:rFonts w:ascii="Georgia" w:eastAsia="Times New Roman" w:hAnsi="Georgia" w:cs="Times New Roman"/>
          <w:b/>
          <w:bCs/>
          <w:sz w:val="24"/>
          <w:szCs w:val="24"/>
        </w:rPr>
        <w:t>Policy Incoherence:</w:t>
      </w:r>
      <w:r w:rsidR="00A50AE6" w:rsidRPr="00B40BD9">
        <w:rPr>
          <w:rFonts w:ascii="Georgia" w:eastAsia="Times New Roman" w:hAnsi="Georgia" w:cs="Times New Roman"/>
          <w:sz w:val="24"/>
          <w:szCs w:val="24"/>
        </w:rPr>
        <w:t xml:space="preserve"> Ensuring alignment between national development priorities, climate goals, and just transition principles is crucial. Coordinated efforts across government ministries and institutions are needed to harmonize policies and strategies.</w:t>
      </w:r>
    </w:p>
    <w:p w:rsidR="00A50AE6" w:rsidRPr="00B40BD9" w:rsidRDefault="007F79B9" w:rsidP="00B40BD9">
      <w:pPr>
        <w:numPr>
          <w:ilvl w:val="0"/>
          <w:numId w:val="5"/>
        </w:numPr>
        <w:spacing w:before="100" w:beforeAutospacing="1" w:after="100" w:afterAutospacing="1" w:line="276" w:lineRule="auto"/>
        <w:jc w:val="both"/>
        <w:rPr>
          <w:rFonts w:ascii="Georgia" w:eastAsia="Times New Roman" w:hAnsi="Georgia" w:cs="Times New Roman"/>
          <w:sz w:val="24"/>
          <w:szCs w:val="24"/>
        </w:rPr>
      </w:pPr>
      <w:bookmarkStart w:id="0" w:name="_b1rwa6p4c8h3" w:colFirst="0" w:colLast="0"/>
      <w:bookmarkEnd w:id="0"/>
      <w:r w:rsidRPr="00B40BD9">
        <w:rPr>
          <w:rFonts w:ascii="Georgia" w:eastAsia="Times New Roman" w:hAnsi="Georgia" w:cs="Times New Roman"/>
          <w:color w:val="434343"/>
          <w:sz w:val="24"/>
          <w:szCs w:val="24"/>
          <w:highlight w:val="white"/>
          <w:lang w:val="en-GB"/>
        </w:rPr>
        <w:t xml:space="preserve">. </w:t>
      </w:r>
      <w:r w:rsidR="00A50AE6" w:rsidRPr="00B40BD9">
        <w:rPr>
          <w:rStyle w:val="Strong"/>
          <w:rFonts w:ascii="Georgia" w:hAnsi="Georgia" w:cs="Times New Roman"/>
          <w:sz w:val="24"/>
          <w:szCs w:val="24"/>
        </w:rPr>
        <w:t>Limited data and data quality issues:</w:t>
      </w:r>
      <w:r w:rsidR="00A50AE6" w:rsidRPr="00B40BD9">
        <w:rPr>
          <w:rFonts w:ascii="Georgia" w:hAnsi="Georgia" w:cs="Times New Roman"/>
          <w:sz w:val="24"/>
          <w:szCs w:val="24"/>
        </w:rPr>
        <w:t xml:space="preserve"> Incomplete or inaccurate data hinders effective planning and implementation of just transition policies. Governments must invest in data collection and monitoring systems to ensure they have comprehensive and reliable information to inform decision-making and track progress.</w:t>
      </w:r>
    </w:p>
    <w:p w:rsidR="007F79B9" w:rsidRPr="00B40BD9" w:rsidRDefault="007F79B9" w:rsidP="00B40BD9">
      <w:pPr>
        <w:spacing w:after="0" w:line="276" w:lineRule="auto"/>
        <w:jc w:val="both"/>
        <w:rPr>
          <w:rFonts w:ascii="Georgia" w:eastAsia="Times New Roman" w:hAnsi="Georgia" w:cs="Times New Roman"/>
          <w:sz w:val="24"/>
          <w:szCs w:val="24"/>
          <w:highlight w:val="white"/>
          <w:lang w:val="en-GB"/>
        </w:rPr>
      </w:pPr>
      <w:r w:rsidRPr="00B40BD9">
        <w:rPr>
          <w:rFonts w:ascii="Georgia" w:eastAsia="Times New Roman" w:hAnsi="Georgia" w:cs="Times New Roman"/>
          <w:b/>
          <w:sz w:val="24"/>
          <w:szCs w:val="24"/>
          <w:highlight w:val="white"/>
          <w:lang w:val="en-GB"/>
        </w:rPr>
        <w:t>Navigating from Targets to Action</w:t>
      </w:r>
    </w:p>
    <w:p w:rsidR="007F79B9" w:rsidRPr="00B40BD9" w:rsidRDefault="009A71C1" w:rsidP="00B40BD9">
      <w:pPr>
        <w:spacing w:after="0" w:line="276" w:lineRule="auto"/>
        <w:jc w:val="both"/>
        <w:rPr>
          <w:rFonts w:ascii="Georgia" w:eastAsia="Times New Roman" w:hAnsi="Georgia" w:cs="Times New Roman"/>
          <w:sz w:val="24"/>
          <w:szCs w:val="24"/>
          <w:highlight w:val="white"/>
          <w:lang w:val="en-GB"/>
        </w:rPr>
      </w:pPr>
      <w:r w:rsidRPr="00B40BD9">
        <w:rPr>
          <w:rFonts w:ascii="Georgia" w:hAnsi="Georgia" w:cs="Times New Roman"/>
          <w:sz w:val="24"/>
          <w:szCs w:val="24"/>
        </w:rPr>
        <w:t xml:space="preserve">Turning NDC targets into action requires a coordinated and strategic approach. East Africa must develop robust implementation plans that clearly outline pathways for project development, investment mobilization, and stakeholder engagement. By fostering cross-border collaboration and knowledge-sharing, East Africa can translate its renewable energy ambitions into concrete projects and initiatives that benefit all its citizens. </w:t>
      </w:r>
      <w:r w:rsidRPr="00B40BD9">
        <w:rPr>
          <w:rFonts w:ascii="Georgia" w:eastAsia="Times New Roman" w:hAnsi="Georgia" w:cs="Times New Roman"/>
          <w:sz w:val="24"/>
          <w:szCs w:val="24"/>
          <w:highlight w:val="white"/>
          <w:lang w:val="en-GB"/>
        </w:rPr>
        <w:t xml:space="preserve">Key strategies and points to enhance this process </w:t>
      </w:r>
      <w:r w:rsidR="00287FE0" w:rsidRPr="00B40BD9">
        <w:rPr>
          <w:rFonts w:ascii="Georgia" w:eastAsia="Times New Roman" w:hAnsi="Georgia" w:cs="Times New Roman"/>
          <w:sz w:val="24"/>
          <w:szCs w:val="24"/>
          <w:highlight w:val="white"/>
          <w:lang w:val="en-GB"/>
        </w:rPr>
        <w:t>are</w:t>
      </w:r>
      <w:r w:rsidRPr="00B40BD9">
        <w:rPr>
          <w:rFonts w:ascii="Georgia" w:eastAsia="Times New Roman" w:hAnsi="Georgia" w:cs="Times New Roman"/>
          <w:sz w:val="24"/>
          <w:szCs w:val="24"/>
          <w:highlight w:val="white"/>
          <w:lang w:val="en-GB"/>
        </w:rPr>
        <w:t>:</w:t>
      </w:r>
    </w:p>
    <w:p w:rsidR="009A71C1" w:rsidRPr="00B40BD9" w:rsidRDefault="009A71C1" w:rsidP="00B40BD9">
      <w:pPr>
        <w:numPr>
          <w:ilvl w:val="0"/>
          <w:numId w:val="2"/>
        </w:numPr>
        <w:spacing w:before="100" w:beforeAutospacing="1" w:after="100" w:afterAutospacing="1" w:line="276" w:lineRule="auto"/>
        <w:jc w:val="both"/>
        <w:rPr>
          <w:rFonts w:ascii="Georgia" w:eastAsia="Times New Roman" w:hAnsi="Georgia" w:cs="Times New Roman"/>
          <w:sz w:val="24"/>
          <w:szCs w:val="24"/>
        </w:rPr>
      </w:pPr>
      <w:r w:rsidRPr="00B40BD9">
        <w:rPr>
          <w:rFonts w:ascii="Georgia" w:eastAsia="Times New Roman" w:hAnsi="Georgia" w:cs="Times New Roman"/>
          <w:b/>
          <w:bCs/>
          <w:sz w:val="24"/>
          <w:szCs w:val="24"/>
        </w:rPr>
        <w:t>Integrated Regional Planning:</w:t>
      </w:r>
      <w:r w:rsidRPr="00B40BD9">
        <w:rPr>
          <w:rFonts w:ascii="Georgia" w:eastAsia="Times New Roman" w:hAnsi="Georgia" w:cs="Times New Roman"/>
          <w:sz w:val="24"/>
          <w:szCs w:val="24"/>
        </w:rPr>
        <w:t xml:space="preserve"> Develop a regional renewable energy strategy that aligns with the NDCs of individual East African countries.</w:t>
      </w:r>
    </w:p>
    <w:p w:rsidR="009A71C1" w:rsidRPr="00B40BD9" w:rsidRDefault="009A71C1" w:rsidP="00B40BD9">
      <w:pPr>
        <w:numPr>
          <w:ilvl w:val="0"/>
          <w:numId w:val="2"/>
        </w:numPr>
        <w:spacing w:before="100" w:beforeAutospacing="1" w:after="100" w:afterAutospacing="1" w:line="276" w:lineRule="auto"/>
        <w:jc w:val="both"/>
        <w:rPr>
          <w:rFonts w:ascii="Georgia" w:eastAsia="Times New Roman" w:hAnsi="Georgia" w:cs="Times New Roman"/>
          <w:sz w:val="24"/>
          <w:szCs w:val="24"/>
        </w:rPr>
      </w:pPr>
      <w:r w:rsidRPr="00B40BD9">
        <w:rPr>
          <w:rFonts w:ascii="Georgia" w:eastAsia="Times New Roman" w:hAnsi="Georgia" w:cs="Times New Roman"/>
          <w:b/>
          <w:bCs/>
          <w:sz w:val="24"/>
          <w:szCs w:val="24"/>
        </w:rPr>
        <w:t>Cross-border Energy Trade:</w:t>
      </w:r>
      <w:r w:rsidRPr="00B40BD9">
        <w:rPr>
          <w:rFonts w:ascii="Georgia" w:eastAsia="Times New Roman" w:hAnsi="Georgia" w:cs="Times New Roman"/>
          <w:sz w:val="24"/>
          <w:szCs w:val="24"/>
        </w:rPr>
        <w:t xml:space="preserve"> Develop infrastructure and regulatory frameworks to facilitate cross-border energy trade. This will enhance energy security and efficiency, promote regional power </w:t>
      </w:r>
      <w:r w:rsidR="00287FE0" w:rsidRPr="00B40BD9">
        <w:rPr>
          <w:rFonts w:ascii="Georgia" w:eastAsia="Times New Roman" w:hAnsi="Georgia" w:cs="Times New Roman"/>
          <w:sz w:val="24"/>
          <w:szCs w:val="24"/>
        </w:rPr>
        <w:t>tools</w:t>
      </w:r>
      <w:r w:rsidRPr="00B40BD9">
        <w:rPr>
          <w:rFonts w:ascii="Georgia" w:eastAsia="Times New Roman" w:hAnsi="Georgia" w:cs="Times New Roman"/>
          <w:sz w:val="24"/>
          <w:szCs w:val="24"/>
        </w:rPr>
        <w:t xml:space="preserve"> that allow countries to share resources, and stabilize energy supply.</w:t>
      </w:r>
    </w:p>
    <w:p w:rsidR="009A71C1" w:rsidRPr="00B40BD9" w:rsidRDefault="009A71C1" w:rsidP="00B40BD9">
      <w:pPr>
        <w:numPr>
          <w:ilvl w:val="0"/>
          <w:numId w:val="2"/>
        </w:numPr>
        <w:spacing w:before="100" w:beforeAutospacing="1" w:after="100" w:afterAutospacing="1" w:line="276" w:lineRule="auto"/>
        <w:jc w:val="both"/>
        <w:rPr>
          <w:rFonts w:ascii="Georgia" w:eastAsia="Times New Roman" w:hAnsi="Georgia" w:cs="Times New Roman"/>
          <w:sz w:val="24"/>
          <w:szCs w:val="24"/>
        </w:rPr>
      </w:pPr>
      <w:r w:rsidRPr="00B40BD9">
        <w:rPr>
          <w:rFonts w:ascii="Georgia" w:eastAsia="Times New Roman" w:hAnsi="Georgia" w:cs="Times New Roman"/>
          <w:b/>
          <w:bCs/>
          <w:sz w:val="24"/>
          <w:szCs w:val="24"/>
        </w:rPr>
        <w:t>Unlocking the Potential of the Private Sector:</w:t>
      </w:r>
      <w:r w:rsidRPr="00B40BD9">
        <w:rPr>
          <w:rFonts w:ascii="Georgia" w:eastAsia="Times New Roman" w:hAnsi="Georgia" w:cs="Times New Roman"/>
          <w:sz w:val="24"/>
          <w:szCs w:val="24"/>
        </w:rPr>
        <w:t xml:space="preserve"> Private sector engagement is crucial in accelerating renewable energy transitions. By leveraging expertise, innovation, and financial resources, the private sector can drive the scale-up of renewable energy projects. However, effective engagement and incentivization are essential:</w:t>
      </w:r>
    </w:p>
    <w:p w:rsidR="009A71C1" w:rsidRPr="00B40BD9" w:rsidRDefault="009A71C1" w:rsidP="00B40BD9">
      <w:pPr>
        <w:numPr>
          <w:ilvl w:val="1"/>
          <w:numId w:val="2"/>
        </w:numPr>
        <w:spacing w:before="100" w:beforeAutospacing="1" w:after="100" w:afterAutospacing="1" w:line="276" w:lineRule="auto"/>
        <w:jc w:val="both"/>
        <w:rPr>
          <w:rFonts w:ascii="Georgia" w:eastAsia="Times New Roman" w:hAnsi="Georgia" w:cs="Times New Roman"/>
          <w:sz w:val="24"/>
          <w:szCs w:val="24"/>
        </w:rPr>
      </w:pPr>
      <w:r w:rsidRPr="00B40BD9">
        <w:rPr>
          <w:rFonts w:ascii="Georgia" w:eastAsia="Times New Roman" w:hAnsi="Georgia" w:cs="Times New Roman"/>
          <w:b/>
          <w:bCs/>
          <w:sz w:val="24"/>
          <w:szCs w:val="24"/>
        </w:rPr>
        <w:t>Policy Frameworks:</w:t>
      </w:r>
      <w:r w:rsidRPr="00B40BD9">
        <w:rPr>
          <w:rFonts w:ascii="Georgia" w:eastAsia="Times New Roman" w:hAnsi="Georgia" w:cs="Times New Roman"/>
          <w:sz w:val="24"/>
          <w:szCs w:val="24"/>
        </w:rPr>
        <w:t xml:space="preserve"> Implement clear and consistent policies, including renewable energy targets and regulatory frameworks. This will create an enabling environment for private-sector investment.</w:t>
      </w:r>
    </w:p>
    <w:p w:rsidR="009A71C1" w:rsidRPr="00B40BD9" w:rsidRDefault="009A71C1" w:rsidP="00B40BD9">
      <w:pPr>
        <w:numPr>
          <w:ilvl w:val="1"/>
          <w:numId w:val="2"/>
        </w:numPr>
        <w:spacing w:before="100" w:beforeAutospacing="1" w:after="100" w:afterAutospacing="1" w:line="276" w:lineRule="auto"/>
        <w:jc w:val="both"/>
        <w:rPr>
          <w:rFonts w:ascii="Georgia" w:eastAsia="Times New Roman" w:hAnsi="Georgia" w:cs="Times New Roman"/>
          <w:sz w:val="24"/>
          <w:szCs w:val="24"/>
        </w:rPr>
      </w:pPr>
      <w:r w:rsidRPr="00B40BD9">
        <w:rPr>
          <w:rFonts w:ascii="Georgia" w:eastAsia="Times New Roman" w:hAnsi="Georgia" w:cs="Times New Roman"/>
          <w:b/>
          <w:bCs/>
          <w:sz w:val="24"/>
          <w:szCs w:val="24"/>
        </w:rPr>
        <w:t>Public-Private Partnerships (PPPs):</w:t>
      </w:r>
      <w:r w:rsidRPr="00B40BD9">
        <w:rPr>
          <w:rFonts w:ascii="Georgia" w:eastAsia="Times New Roman" w:hAnsi="Georgia" w:cs="Times New Roman"/>
          <w:sz w:val="24"/>
          <w:szCs w:val="24"/>
        </w:rPr>
        <w:t xml:space="preserve"> Collaborative initiatives between governments and private companies can leverage resources and expertise to finance and implement renewable energy projects.</w:t>
      </w:r>
    </w:p>
    <w:p w:rsidR="009A71C1" w:rsidRPr="00B40BD9" w:rsidRDefault="009A71C1" w:rsidP="00B40BD9">
      <w:pPr>
        <w:numPr>
          <w:ilvl w:val="1"/>
          <w:numId w:val="2"/>
        </w:numPr>
        <w:spacing w:before="100" w:beforeAutospacing="1" w:after="100" w:afterAutospacing="1" w:line="276" w:lineRule="auto"/>
        <w:jc w:val="both"/>
        <w:rPr>
          <w:rFonts w:ascii="Georgia" w:eastAsia="Times New Roman" w:hAnsi="Georgia" w:cs="Times New Roman"/>
          <w:sz w:val="24"/>
          <w:szCs w:val="24"/>
        </w:rPr>
      </w:pPr>
      <w:r w:rsidRPr="00B40BD9">
        <w:rPr>
          <w:rFonts w:ascii="Georgia" w:eastAsia="Times New Roman" w:hAnsi="Georgia" w:cs="Times New Roman"/>
          <w:b/>
          <w:bCs/>
          <w:sz w:val="24"/>
          <w:szCs w:val="24"/>
        </w:rPr>
        <w:lastRenderedPageBreak/>
        <w:t>Market Mechanisms:</w:t>
      </w:r>
      <w:r w:rsidRPr="00B40BD9">
        <w:rPr>
          <w:rFonts w:ascii="Georgia" w:eastAsia="Times New Roman" w:hAnsi="Georgia" w:cs="Times New Roman"/>
          <w:sz w:val="24"/>
          <w:szCs w:val="24"/>
        </w:rPr>
        <w:t xml:space="preserve"> </w:t>
      </w:r>
      <w:r w:rsidR="003F7F26" w:rsidRPr="00B40BD9">
        <w:rPr>
          <w:rFonts w:ascii="Georgia" w:eastAsia="Times New Roman" w:hAnsi="Georgia" w:cs="Times New Roman"/>
          <w:sz w:val="24"/>
          <w:szCs w:val="24"/>
          <w:highlight w:val="white"/>
          <w:lang w:val="en-GB"/>
        </w:rPr>
        <w:t xml:space="preserve">Market-based incentives such as </w:t>
      </w:r>
      <w:hyperlink r:id="rId6" w:anchor=":~:text=Renewable%20energy%20providers%20or%20sellers,country's%20unique%20needs%20and%20goals.">
        <w:r w:rsidR="003F7F26" w:rsidRPr="00B40BD9">
          <w:rPr>
            <w:rFonts w:ascii="Georgia" w:eastAsia="Times New Roman" w:hAnsi="Georgia" w:cs="Times New Roman"/>
            <w:color w:val="1155CC"/>
            <w:sz w:val="24"/>
            <w:szCs w:val="24"/>
            <w:highlight w:val="white"/>
            <w:lang w:val="en-GB"/>
          </w:rPr>
          <w:t xml:space="preserve">renewable energy </w:t>
        </w:r>
      </w:hyperlink>
      <w:hyperlink r:id="rId7" w:anchor=":~:text=Renewable%20energy%20providers%20or%20sellers,country's%20unique%20needs%20and%20goals.">
        <w:r w:rsidR="00287FE0" w:rsidRPr="00B40BD9">
          <w:rPr>
            <w:rFonts w:ascii="Georgia" w:eastAsia="Times New Roman" w:hAnsi="Georgia" w:cs="Times New Roman"/>
            <w:color w:val="1155CC"/>
            <w:sz w:val="24"/>
            <w:szCs w:val="24"/>
            <w:highlight w:val="white"/>
            <w:lang w:val="en-GB"/>
          </w:rPr>
          <w:t>auctions</w:t>
        </w:r>
      </w:hyperlink>
      <w:r w:rsidR="003F7F26" w:rsidRPr="00B40BD9">
        <w:rPr>
          <w:rFonts w:ascii="Georgia" w:eastAsia="Times New Roman" w:hAnsi="Georgia" w:cs="Times New Roman"/>
          <w:sz w:val="24"/>
          <w:szCs w:val="24"/>
          <w:highlight w:val="white"/>
          <w:lang w:val="en-GB"/>
        </w:rPr>
        <w:t xml:space="preserve"> and </w:t>
      </w:r>
      <w:hyperlink r:id="rId8" w:anchor=":~:text=Carbon%20pricing%20is%20an%20instrument,to%20their%20sources%20through%20a">
        <w:r w:rsidR="003F7F26" w:rsidRPr="00B40BD9">
          <w:rPr>
            <w:rFonts w:ascii="Georgia" w:eastAsia="Times New Roman" w:hAnsi="Georgia" w:cs="Times New Roman"/>
            <w:color w:val="1155CC"/>
            <w:sz w:val="24"/>
            <w:szCs w:val="24"/>
            <w:highlight w:val="white"/>
            <w:lang w:val="en-GB"/>
          </w:rPr>
          <w:t>Carbon Pricing</w:t>
        </w:r>
      </w:hyperlink>
      <w:r w:rsidR="003F7F26" w:rsidRPr="00B40BD9">
        <w:rPr>
          <w:rFonts w:ascii="Georgia" w:eastAsia="Times New Roman" w:hAnsi="Georgia" w:cs="Times New Roman"/>
          <w:sz w:val="24"/>
          <w:szCs w:val="24"/>
          <w:highlight w:val="white"/>
          <w:lang w:val="en-GB"/>
        </w:rPr>
        <w:t xml:space="preserve"> schemes provide financial incentives to encourage private sector participation.</w:t>
      </w:r>
    </w:p>
    <w:p w:rsidR="003F7F26" w:rsidRPr="00B40BD9" w:rsidRDefault="00C956A7" w:rsidP="00B40BD9">
      <w:pPr>
        <w:spacing w:before="100" w:beforeAutospacing="1" w:after="100" w:afterAutospacing="1" w:line="276" w:lineRule="auto"/>
        <w:jc w:val="both"/>
        <w:rPr>
          <w:rFonts w:ascii="Georgia" w:eastAsia="Times New Roman" w:hAnsi="Georgia" w:cs="Times New Roman"/>
          <w:sz w:val="24"/>
          <w:szCs w:val="24"/>
        </w:rPr>
      </w:pPr>
      <w:r w:rsidRPr="00B40BD9">
        <w:rPr>
          <w:rFonts w:ascii="Georgia" w:eastAsia="Times New Roman" w:hAnsi="Georgia" w:cs="Times New Roman"/>
          <w:b/>
          <w:bCs/>
          <w:sz w:val="24"/>
          <w:szCs w:val="24"/>
        </w:rPr>
        <w:t xml:space="preserve">Pathway </w:t>
      </w:r>
      <w:r w:rsidR="003F7F26" w:rsidRPr="00B40BD9">
        <w:rPr>
          <w:rFonts w:ascii="Georgia" w:eastAsia="Times New Roman" w:hAnsi="Georgia" w:cs="Times New Roman"/>
          <w:b/>
          <w:bCs/>
          <w:sz w:val="24"/>
          <w:szCs w:val="24"/>
        </w:rPr>
        <w:t>Forward</w:t>
      </w:r>
    </w:p>
    <w:p w:rsidR="003F7F26" w:rsidRPr="00B40BD9" w:rsidRDefault="003F7F26" w:rsidP="00B40BD9">
      <w:pPr>
        <w:spacing w:before="100" w:beforeAutospacing="1" w:after="100" w:afterAutospacing="1" w:line="276" w:lineRule="auto"/>
        <w:jc w:val="both"/>
        <w:rPr>
          <w:rFonts w:ascii="Georgia" w:eastAsia="Times New Roman" w:hAnsi="Georgia" w:cs="Times New Roman"/>
          <w:sz w:val="24"/>
          <w:szCs w:val="24"/>
        </w:rPr>
      </w:pPr>
      <w:r w:rsidRPr="00B40BD9">
        <w:rPr>
          <w:rFonts w:ascii="Georgia" w:eastAsia="Times New Roman" w:hAnsi="Georgia" w:cs="Times New Roman"/>
          <w:sz w:val="24"/>
          <w:szCs w:val="24"/>
        </w:rPr>
        <w:t>To navigate these challenges and capitalize on opportunities, African countries must prioritize the following:</w:t>
      </w:r>
    </w:p>
    <w:p w:rsidR="003F7F26" w:rsidRPr="00B40BD9" w:rsidRDefault="003F7F26" w:rsidP="00B40BD9">
      <w:pPr>
        <w:numPr>
          <w:ilvl w:val="0"/>
          <w:numId w:val="7"/>
        </w:numPr>
        <w:spacing w:before="100" w:beforeAutospacing="1" w:after="100" w:afterAutospacing="1" w:line="276" w:lineRule="auto"/>
        <w:jc w:val="both"/>
        <w:rPr>
          <w:rFonts w:ascii="Georgia" w:eastAsia="Times New Roman" w:hAnsi="Georgia" w:cs="Times New Roman"/>
          <w:sz w:val="24"/>
          <w:szCs w:val="24"/>
        </w:rPr>
      </w:pPr>
      <w:r w:rsidRPr="00B40BD9">
        <w:rPr>
          <w:rFonts w:ascii="Georgia" w:eastAsia="Times New Roman" w:hAnsi="Georgia" w:cs="Times New Roman"/>
          <w:b/>
          <w:bCs/>
          <w:sz w:val="24"/>
          <w:szCs w:val="24"/>
        </w:rPr>
        <w:t>Capacity Building:</w:t>
      </w:r>
      <w:r w:rsidRPr="00B40BD9">
        <w:rPr>
          <w:rFonts w:ascii="Georgia" w:eastAsia="Times New Roman" w:hAnsi="Georgia" w:cs="Times New Roman"/>
          <w:sz w:val="24"/>
          <w:szCs w:val="24"/>
        </w:rPr>
        <w:t xml:space="preserve"> Investing in human resources and skills development is essential to meet the growing demand for renewable energy professionals.</w:t>
      </w:r>
    </w:p>
    <w:p w:rsidR="003F7F26" w:rsidRPr="00B40BD9" w:rsidRDefault="003F7F26" w:rsidP="00B40BD9">
      <w:pPr>
        <w:numPr>
          <w:ilvl w:val="0"/>
          <w:numId w:val="7"/>
        </w:numPr>
        <w:spacing w:before="100" w:beforeAutospacing="1" w:after="100" w:afterAutospacing="1" w:line="276" w:lineRule="auto"/>
        <w:jc w:val="both"/>
        <w:rPr>
          <w:rFonts w:ascii="Georgia" w:eastAsia="Times New Roman" w:hAnsi="Georgia" w:cs="Times New Roman"/>
          <w:sz w:val="24"/>
          <w:szCs w:val="24"/>
        </w:rPr>
      </w:pPr>
      <w:r w:rsidRPr="00B40BD9">
        <w:rPr>
          <w:rFonts w:ascii="Georgia" w:eastAsia="Times New Roman" w:hAnsi="Georgia" w:cs="Times New Roman"/>
          <w:b/>
          <w:bCs/>
          <w:sz w:val="24"/>
          <w:szCs w:val="24"/>
        </w:rPr>
        <w:t>Community Engagement:</w:t>
      </w:r>
      <w:r w:rsidRPr="00B40BD9">
        <w:rPr>
          <w:rFonts w:ascii="Georgia" w:eastAsia="Times New Roman" w:hAnsi="Georgia" w:cs="Times New Roman"/>
          <w:sz w:val="24"/>
          <w:szCs w:val="24"/>
        </w:rPr>
        <w:t xml:space="preserve"> Meaningful engagement with local communities ensures that the benefits of renewable energy projects are shared equitably and that no one is left behind.</w:t>
      </w:r>
    </w:p>
    <w:p w:rsidR="003F7F26" w:rsidRPr="00B40BD9" w:rsidRDefault="003F7F26" w:rsidP="00B40BD9">
      <w:pPr>
        <w:numPr>
          <w:ilvl w:val="0"/>
          <w:numId w:val="7"/>
        </w:numPr>
        <w:spacing w:before="100" w:beforeAutospacing="1" w:after="100" w:afterAutospacing="1" w:line="276" w:lineRule="auto"/>
        <w:jc w:val="both"/>
        <w:rPr>
          <w:rFonts w:ascii="Georgia" w:eastAsia="Times New Roman" w:hAnsi="Georgia" w:cs="Times New Roman"/>
          <w:sz w:val="24"/>
          <w:szCs w:val="24"/>
        </w:rPr>
      </w:pPr>
      <w:r w:rsidRPr="00B40BD9">
        <w:rPr>
          <w:rFonts w:ascii="Georgia" w:eastAsia="Times New Roman" w:hAnsi="Georgia" w:cs="Times New Roman"/>
          <w:b/>
          <w:bCs/>
          <w:sz w:val="24"/>
          <w:szCs w:val="24"/>
        </w:rPr>
        <w:t>Innovation:</w:t>
      </w:r>
      <w:r w:rsidRPr="00B40BD9">
        <w:rPr>
          <w:rFonts w:ascii="Georgia" w:eastAsia="Times New Roman" w:hAnsi="Georgia" w:cs="Times New Roman"/>
          <w:sz w:val="24"/>
          <w:szCs w:val="24"/>
        </w:rPr>
        <w:t xml:space="preserve"> Embracing technological innovations and business models can drive down costs and accelerate the adoption of renewable energy solutions.</w:t>
      </w:r>
    </w:p>
    <w:p w:rsidR="007F79B9" w:rsidRPr="00B40BD9" w:rsidRDefault="007F79B9" w:rsidP="00B40BD9">
      <w:pPr>
        <w:spacing w:before="240" w:after="240" w:line="276" w:lineRule="auto"/>
        <w:jc w:val="both"/>
        <w:rPr>
          <w:rFonts w:ascii="Georgia" w:eastAsia="Times New Roman" w:hAnsi="Georgia" w:cs="Times New Roman"/>
          <w:sz w:val="24"/>
          <w:szCs w:val="24"/>
          <w:highlight w:val="white"/>
          <w:lang w:val="en-GB"/>
        </w:rPr>
      </w:pPr>
      <w:r w:rsidRPr="00B40BD9">
        <w:rPr>
          <w:rFonts w:ascii="Georgia" w:eastAsia="Times New Roman" w:hAnsi="Georgia" w:cs="Times New Roman"/>
          <w:sz w:val="24"/>
          <w:szCs w:val="24"/>
          <w:highlight w:val="white"/>
          <w:lang w:val="en-GB"/>
        </w:rPr>
        <w:t xml:space="preserve">As African nations embark on this transformative journey towards renewable energy, collaboration, innovation, and a commitment to justice will be paramount. By integrating just transition principles into NDCs and energy access initiatives, Africa can pave the way </w:t>
      </w:r>
      <w:r w:rsidR="00287FE0" w:rsidRPr="00B40BD9">
        <w:rPr>
          <w:rFonts w:ascii="Georgia" w:eastAsia="Times New Roman" w:hAnsi="Georgia" w:cs="Times New Roman"/>
          <w:sz w:val="24"/>
          <w:szCs w:val="24"/>
          <w:highlight w:val="white"/>
          <w:lang w:val="en-GB"/>
        </w:rPr>
        <w:t>toward</w:t>
      </w:r>
      <w:r w:rsidRPr="00B40BD9">
        <w:rPr>
          <w:rFonts w:ascii="Georgia" w:eastAsia="Times New Roman" w:hAnsi="Georgia" w:cs="Times New Roman"/>
          <w:sz w:val="24"/>
          <w:szCs w:val="24"/>
          <w:highlight w:val="white"/>
          <w:lang w:val="en-GB"/>
        </w:rPr>
        <w:t xml:space="preserve"> a sustainable and equitable energy future for all.</w:t>
      </w:r>
    </w:p>
    <w:p w:rsidR="00244B09" w:rsidRPr="00B40BD9" w:rsidRDefault="00244B09" w:rsidP="00B40BD9">
      <w:pPr>
        <w:spacing w:before="240" w:after="240" w:line="276" w:lineRule="auto"/>
        <w:jc w:val="both"/>
        <w:rPr>
          <w:rFonts w:ascii="Georgia" w:eastAsia="Times New Roman" w:hAnsi="Georgia" w:cs="Times New Roman"/>
          <w:b/>
          <w:sz w:val="24"/>
          <w:szCs w:val="24"/>
          <w:highlight w:val="white"/>
          <w:lang w:val="en-GB"/>
        </w:rPr>
      </w:pPr>
    </w:p>
    <w:p w:rsidR="007F79B9" w:rsidRPr="00B40BD9" w:rsidRDefault="007F79B9" w:rsidP="00B40BD9">
      <w:pPr>
        <w:spacing w:before="240" w:after="240" w:line="276" w:lineRule="auto"/>
        <w:jc w:val="both"/>
        <w:rPr>
          <w:rFonts w:ascii="Georgia" w:eastAsia="Times New Roman" w:hAnsi="Georgia" w:cs="Times New Roman"/>
          <w:b/>
          <w:sz w:val="24"/>
          <w:szCs w:val="24"/>
          <w:highlight w:val="white"/>
          <w:lang w:val="en-GB"/>
        </w:rPr>
      </w:pPr>
      <w:r w:rsidRPr="00B40BD9">
        <w:rPr>
          <w:rFonts w:ascii="Georgia" w:eastAsia="Times New Roman" w:hAnsi="Georgia" w:cs="Times New Roman"/>
          <w:b/>
          <w:sz w:val="24"/>
          <w:szCs w:val="24"/>
          <w:highlight w:val="white"/>
          <w:lang w:val="en-GB"/>
        </w:rPr>
        <w:t>Conclusion</w:t>
      </w:r>
    </w:p>
    <w:p w:rsidR="00C956A7" w:rsidRPr="00B40BD9" w:rsidRDefault="00C956A7" w:rsidP="00B40BD9">
      <w:pPr>
        <w:spacing w:before="240" w:after="240" w:line="276" w:lineRule="auto"/>
        <w:jc w:val="both"/>
        <w:rPr>
          <w:rFonts w:ascii="Georgia" w:hAnsi="Georgia" w:cs="Times New Roman"/>
          <w:sz w:val="24"/>
          <w:szCs w:val="24"/>
        </w:rPr>
      </w:pPr>
      <w:r w:rsidRPr="00B40BD9">
        <w:rPr>
          <w:rFonts w:ascii="Georgia" w:hAnsi="Georgia" w:cs="Times New Roman"/>
          <w:sz w:val="24"/>
          <w:szCs w:val="24"/>
        </w:rPr>
        <w:t>Africa stands at a pivotal moment in its energy transition. By overcoming the challenges, fostering collaboration, innovation, and a commitment to justice, Africa can leverage its renewable resources to create a sustainable and equitable energy future for all its citizens. This transition not only offers environmental benefits but also presents a significant opportunity for economic growth and social development across the continent. By prioritizing a just transition, Africa can ensure that everyone benefits from this transformative journey towards a clean energy future.</w:t>
      </w:r>
    </w:p>
    <w:p w:rsidR="00D92311" w:rsidRPr="00B40BD9" w:rsidRDefault="00B40BD9" w:rsidP="00B40BD9">
      <w:pPr>
        <w:spacing w:before="240" w:after="240" w:line="276" w:lineRule="auto"/>
        <w:jc w:val="both"/>
        <w:rPr>
          <w:rFonts w:ascii="Georgia" w:eastAsia="Times New Roman" w:hAnsi="Georgia" w:cs="Times New Roman"/>
          <w:b/>
          <w:color w:val="002060"/>
          <w:sz w:val="24"/>
          <w:szCs w:val="24"/>
          <w:highlight w:val="white"/>
          <w:lang w:val="en-GB"/>
        </w:rPr>
      </w:pPr>
      <w:r w:rsidRPr="00B40BD9">
        <w:rPr>
          <mc:AlternateContent>
            <mc:Choice Requires="w16se">
              <w:rFonts w:ascii="Georgia" w:eastAsia="Times New Roman" w:hAnsi="Georgia" w:cs="Times New Roman"/>
            </mc:Choice>
            <mc:Fallback>
              <w:rFonts w:ascii="Segoe UI Emoji" w:eastAsia="Segoe UI Emoji" w:hAnsi="Segoe UI Emoji" w:cs="Segoe UI Emoji"/>
            </mc:Fallback>
          </mc:AlternateContent>
          <w:b/>
          <w:color w:val="002060"/>
          <w:sz w:val="24"/>
          <w:szCs w:val="24"/>
          <w:highlight w:val="white"/>
          <w:lang w:val="en-GB"/>
        </w:rPr>
        <mc:AlternateContent>
          <mc:Choice Requires="w16se">
            <w16se:symEx w16se:font="Segoe UI Emoji" w16se:char="00A9"/>
          </mc:Choice>
          <mc:Fallback>
            <w:t>©</w:t>
          </mc:Fallback>
        </mc:AlternateContent>
      </w:r>
      <w:r w:rsidRPr="00B40BD9">
        <w:rPr>
          <w:rFonts w:ascii="Georgia" w:eastAsia="Times New Roman" w:hAnsi="Georgia" w:cs="Times New Roman"/>
          <w:b/>
          <w:color w:val="002060"/>
          <w:sz w:val="24"/>
          <w:szCs w:val="24"/>
          <w:highlight w:val="white"/>
          <w:lang w:val="en-GB"/>
        </w:rPr>
        <w:t>ARI</w:t>
      </w:r>
      <w:bookmarkStart w:id="1" w:name="_GoBack"/>
      <w:bookmarkEnd w:id="1"/>
      <w:r w:rsidRPr="00B40BD9">
        <w:rPr>
          <w:rFonts w:ascii="Georgia" w:eastAsia="Times New Roman" w:hAnsi="Georgia" w:cs="Times New Roman"/>
          <w:b/>
          <w:color w:val="002060"/>
          <w:sz w:val="24"/>
          <w:szCs w:val="24"/>
          <w:highlight w:val="white"/>
          <w:lang w:val="en-GB"/>
        </w:rPr>
        <w:t>N Press</w:t>
      </w:r>
    </w:p>
    <w:sectPr w:rsidR="00D92311" w:rsidRPr="00B40B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205925"/>
    <w:multiLevelType w:val="multilevel"/>
    <w:tmpl w:val="BF2059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CF092B84"/>
    <w:multiLevelType w:val="multilevel"/>
    <w:tmpl w:val="CF092B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053208E"/>
    <w:multiLevelType w:val="multilevel"/>
    <w:tmpl w:val="0053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8049D7"/>
    <w:multiLevelType w:val="multilevel"/>
    <w:tmpl w:val="25104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72246"/>
    <w:multiLevelType w:val="multilevel"/>
    <w:tmpl w:val="18AC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92E48"/>
    <w:multiLevelType w:val="multilevel"/>
    <w:tmpl w:val="737A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DCABA"/>
    <w:multiLevelType w:val="multilevel"/>
    <w:tmpl w:val="59ADC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6"/>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9B9"/>
    <w:rsid w:val="0000538F"/>
    <w:rsid w:val="00066375"/>
    <w:rsid w:val="00244B09"/>
    <w:rsid w:val="00287FE0"/>
    <w:rsid w:val="002F1F31"/>
    <w:rsid w:val="00377406"/>
    <w:rsid w:val="003F7F26"/>
    <w:rsid w:val="00403E9A"/>
    <w:rsid w:val="00594A7D"/>
    <w:rsid w:val="005B2A65"/>
    <w:rsid w:val="007F79B9"/>
    <w:rsid w:val="00831BB7"/>
    <w:rsid w:val="009A71C1"/>
    <w:rsid w:val="00A50AE6"/>
    <w:rsid w:val="00A80348"/>
    <w:rsid w:val="00B2614A"/>
    <w:rsid w:val="00B40BD9"/>
    <w:rsid w:val="00C956A7"/>
    <w:rsid w:val="00D06ED2"/>
    <w:rsid w:val="00D915EB"/>
    <w:rsid w:val="00D92311"/>
    <w:rsid w:val="00E36F07"/>
    <w:rsid w:val="00F82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D887C"/>
  <w15:chartTrackingRefBased/>
  <w15:docId w15:val="{AF0CBE57-4A66-410C-8660-F61415C4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0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73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bonpricingdashboard.worldbank.org/what-carbon-pricing" TargetMode="External"/><Relationship Id="rId3" Type="http://schemas.openxmlformats.org/officeDocument/2006/relationships/settings" Target="settings.xml"/><Relationship Id="rId7" Type="http://schemas.openxmlformats.org/officeDocument/2006/relationships/hyperlink" Target="https://www.usaid.gov/energy/auctions/auction-explainer-vid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aid.gov/energy/auctions/auction-explainer-vide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2024-07-29T18:30:00Z</dcterms:created>
  <dcterms:modified xsi:type="dcterms:W3CDTF">2024-07-29T18:30:00Z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a305aa2403ba704b0cd4d2187414980b51935c09d28e34ace728d7c7cd5dea8d</vt:lpwstr>
  </property>
</Properties>
</file>