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29" w:rsidRPr="00F116EA" w:rsidRDefault="00E36A0A" w:rsidP="00E36A0A">
      <w:pPr>
        <w:spacing w:line="276" w:lineRule="auto"/>
        <w:jc w:val="both"/>
        <w:rPr>
          <w:rFonts w:ascii="Georgia" w:hAnsi="Georgia"/>
          <w:b/>
          <w:sz w:val="28"/>
          <w:szCs w:val="28"/>
          <w:lang w:val="en-US"/>
        </w:rPr>
      </w:pPr>
      <w:r w:rsidRPr="00F116EA">
        <w:rPr>
          <w:rFonts w:ascii="Georgia" w:hAnsi="Georgia"/>
          <w:b/>
          <w:sz w:val="28"/>
          <w:szCs w:val="28"/>
          <w:lang w:val="en-US"/>
        </w:rPr>
        <w:t xml:space="preserve"> </w:t>
      </w:r>
      <w:r w:rsidRPr="00F116EA">
        <w:rPr>
          <w:rFonts w:ascii="Georgia" w:hAnsi="Georgia"/>
          <w:b/>
          <w:sz w:val="28"/>
          <w:szCs w:val="28"/>
        </w:rPr>
        <w:t>Unlocking Africa's Renewable Energy Potential</w:t>
      </w:r>
    </w:p>
    <w:p w:rsidR="00F46C29" w:rsidRPr="00F116EA" w:rsidRDefault="00F46C29" w:rsidP="00F116EA">
      <w:pPr>
        <w:spacing w:line="276" w:lineRule="auto"/>
        <w:rPr>
          <w:rFonts w:ascii="Georgia" w:hAnsi="Georgia"/>
          <w:i/>
          <w:sz w:val="18"/>
          <w:szCs w:val="18"/>
          <w:lang w:val="en-US"/>
        </w:rPr>
      </w:pPr>
      <w:r w:rsidRPr="00F116EA">
        <w:rPr>
          <w:rFonts w:ascii="Georgia" w:hAnsi="Georgia"/>
          <w:i/>
          <w:sz w:val="18"/>
          <w:szCs w:val="18"/>
          <w:lang w:val="en-US"/>
        </w:rPr>
        <w:t xml:space="preserve">Jim </w:t>
      </w:r>
      <w:proofErr w:type="spellStart"/>
      <w:r w:rsidRPr="00F116EA">
        <w:rPr>
          <w:rFonts w:ascii="Georgia" w:hAnsi="Georgia"/>
          <w:i/>
          <w:sz w:val="18"/>
          <w:szCs w:val="18"/>
          <w:lang w:val="en-US"/>
        </w:rPr>
        <w:t>Oduor</w:t>
      </w:r>
      <w:proofErr w:type="spellEnd"/>
    </w:p>
    <w:p w:rsidR="00F46C29" w:rsidRPr="00F116EA" w:rsidRDefault="00D46FDB" w:rsidP="00E36A0A">
      <w:pPr>
        <w:spacing w:line="276" w:lineRule="auto"/>
        <w:ind w:left="-5"/>
        <w:jc w:val="both"/>
        <w:rPr>
          <w:rFonts w:ascii="Georgia" w:hAnsi="Georgia"/>
          <w:sz w:val="24"/>
          <w:szCs w:val="24"/>
          <w:lang w:val="en-US"/>
        </w:rPr>
      </w:pPr>
      <w:r w:rsidRPr="00F116EA">
        <w:rPr>
          <w:rFonts w:ascii="Georgia" w:hAnsi="Georgia"/>
          <w:sz w:val="24"/>
          <w:szCs w:val="24"/>
        </w:rPr>
        <w:t>The Paris Agreement established a global framework for addressing climate change, obliging all nations to submit Nationally Determined Contributions (NDCs). These five-year plans, submitted to the UNFCCC secretariat, are intended to progressively enhance climate action. In Africa, where energy access and environmental protection are paramount, renewable energy is a cornerstone of development and climate resilience. This paper examines the key obstacles hindering the implementation of renewable energy-focused NDCs across the continent</w:t>
      </w:r>
      <w:r w:rsidR="00B0617E" w:rsidRPr="00F116EA">
        <w:rPr>
          <w:rFonts w:ascii="Georgia" w:hAnsi="Georgia"/>
          <w:sz w:val="24"/>
          <w:szCs w:val="24"/>
        </w:rPr>
        <w:t xml:space="preserve"> as discussed below.</w:t>
      </w:r>
    </w:p>
    <w:p w:rsidR="00B0617E" w:rsidRPr="00F116EA" w:rsidRDefault="00B0617E" w:rsidP="00E36A0A">
      <w:pPr>
        <w:spacing w:line="276" w:lineRule="auto"/>
        <w:jc w:val="both"/>
        <w:rPr>
          <w:rFonts w:ascii="Georgia" w:hAnsi="Georgia"/>
          <w:sz w:val="24"/>
          <w:szCs w:val="24"/>
          <w:lang w:val="en-US"/>
        </w:rPr>
      </w:pPr>
      <w:r w:rsidRPr="00F116EA">
        <w:rPr>
          <w:rFonts w:ascii="Georgia" w:hAnsi="Georgia"/>
          <w:b/>
          <w:bCs/>
          <w:sz w:val="24"/>
          <w:szCs w:val="24"/>
          <w:lang w:val="en-US"/>
        </w:rPr>
        <w:t>Overreliance on Natural Resources</w:t>
      </w:r>
      <w:r w:rsidR="00E36A0A">
        <w:rPr>
          <w:rFonts w:ascii="Georgia" w:hAnsi="Georgia"/>
          <w:b/>
          <w:bCs/>
          <w:sz w:val="24"/>
          <w:szCs w:val="24"/>
          <w:lang w:val="en-US"/>
        </w:rPr>
        <w:t xml:space="preserve">: </w:t>
      </w:r>
      <w:r w:rsidRPr="00F116EA">
        <w:rPr>
          <w:rFonts w:ascii="Georgia" w:hAnsi="Georgia"/>
          <w:sz w:val="24"/>
          <w:szCs w:val="24"/>
          <w:lang w:val="en-US"/>
        </w:rPr>
        <w:t>Africa's heavy dependence on natural resources limits its capacity to adapt to climate variability and extremes. Integrating adaptation strategies into development planning is crucial but often overlooked, posing a significant challenge to renewable energy NDC implementation.</w:t>
      </w:r>
    </w:p>
    <w:p w:rsidR="00F46C29" w:rsidRPr="00F116EA" w:rsidRDefault="00B0617E" w:rsidP="00E36A0A">
      <w:pPr>
        <w:spacing w:line="276" w:lineRule="auto"/>
        <w:jc w:val="both"/>
        <w:rPr>
          <w:rFonts w:ascii="Georgia" w:hAnsi="Georgia"/>
          <w:sz w:val="24"/>
          <w:szCs w:val="24"/>
          <w:shd w:val="clear" w:color="auto" w:fill="FFFFFF"/>
          <w:lang w:val="en-US"/>
        </w:rPr>
      </w:pPr>
      <w:r w:rsidRPr="00F116EA">
        <w:rPr>
          <w:rStyle w:val="Strong"/>
          <w:rFonts w:ascii="Georgia" w:hAnsi="Georgia"/>
          <w:sz w:val="24"/>
          <w:szCs w:val="24"/>
        </w:rPr>
        <w:t>Neglect of NDCs and Long-Term Strategies (LTS):</w:t>
      </w:r>
      <w:r w:rsidRPr="00F116EA">
        <w:rPr>
          <w:rFonts w:ascii="Georgia" w:hAnsi="Georgia"/>
          <w:sz w:val="24"/>
          <w:szCs w:val="24"/>
        </w:rPr>
        <w:t xml:space="preserve"> African countries have not fully leveraged the NDC and LTS Support program as a strategic tool to promote, develop, and implement Nationally Determined Contributions (NDCs) and Long-Term, Low-Emission Development Strategies (LTSs). This oversight has hindered early investments crucial for maximizing environmental and social benefits.</w:t>
      </w:r>
    </w:p>
    <w:p w:rsidR="00F46C29" w:rsidRPr="00F116EA" w:rsidRDefault="00B0617E" w:rsidP="00E36A0A">
      <w:pPr>
        <w:spacing w:line="276" w:lineRule="auto"/>
        <w:jc w:val="both"/>
        <w:rPr>
          <w:rFonts w:ascii="Georgia" w:hAnsi="Georgia"/>
          <w:sz w:val="24"/>
          <w:szCs w:val="24"/>
          <w:lang w:val="en-US"/>
        </w:rPr>
      </w:pPr>
      <w:r w:rsidRPr="00F116EA">
        <w:rPr>
          <w:rStyle w:val="Strong"/>
          <w:rFonts w:ascii="Georgia" w:hAnsi="Georgia"/>
          <w:sz w:val="24"/>
          <w:szCs w:val="24"/>
        </w:rPr>
        <w:t>Limited Use of Renewable and Off-Grid Energy Solutions:</w:t>
      </w:r>
      <w:r w:rsidRPr="00F116EA">
        <w:rPr>
          <w:rFonts w:ascii="Georgia" w:hAnsi="Georgia"/>
          <w:sz w:val="24"/>
          <w:szCs w:val="24"/>
        </w:rPr>
        <w:t xml:space="preserve"> Insufficient investment in renewable and off-grid energy solutions hinders Africa's progress. Moreover, companies developing off-grid renewable energy projects face significant challenges, including limited access to affordable credit due to perceived risks. While some credit is available, exorbitant interest rates impede large-scale investment. To address these issues, governments and financial institutions should prioritize policies and initiatives that increase the adoption of renewable and off-grid energy solutions. This will expand energy access, promote sustainable urban development, and accelerate the achievement of renewable energy-related NDCs.</w:t>
      </w:r>
    </w:p>
    <w:p w:rsidR="00F46C29" w:rsidRPr="00F116EA" w:rsidRDefault="00B57E3D" w:rsidP="00E36A0A">
      <w:pPr>
        <w:spacing w:line="276" w:lineRule="auto"/>
        <w:jc w:val="both"/>
        <w:rPr>
          <w:rFonts w:ascii="Georgia" w:hAnsi="Georgia"/>
          <w:sz w:val="24"/>
          <w:szCs w:val="24"/>
          <w:lang w:val="en-US"/>
        </w:rPr>
      </w:pPr>
      <w:r w:rsidRPr="00F116EA">
        <w:rPr>
          <w:rStyle w:val="Strong"/>
          <w:rFonts w:ascii="Georgia" w:hAnsi="Georgia"/>
          <w:sz w:val="24"/>
          <w:szCs w:val="24"/>
        </w:rPr>
        <w:t>Limited Access to Critical Technologies:</w:t>
      </w:r>
      <w:r w:rsidRPr="00F116EA">
        <w:rPr>
          <w:rFonts w:ascii="Georgia" w:hAnsi="Georgia"/>
          <w:sz w:val="24"/>
          <w:szCs w:val="24"/>
        </w:rPr>
        <w:t xml:space="preserve"> African countries face a significant technology gap hindering their ability to mitigate climate change, protect ecosystems, and achieve sustainable development goals. Targeted investments in climate-relevant technologies are essential to reduce vulnerability, address inequality, and promote poverty reduction.</w:t>
      </w:r>
    </w:p>
    <w:p w:rsidR="00F46C29" w:rsidRPr="00F116EA" w:rsidRDefault="00B57E3D" w:rsidP="00E36A0A">
      <w:pPr>
        <w:spacing w:line="276" w:lineRule="auto"/>
        <w:jc w:val="both"/>
        <w:rPr>
          <w:rFonts w:ascii="Georgia" w:hAnsi="Georgia"/>
          <w:sz w:val="24"/>
          <w:szCs w:val="24"/>
          <w:lang w:val="en-US"/>
        </w:rPr>
      </w:pPr>
      <w:r w:rsidRPr="00F116EA">
        <w:rPr>
          <w:rStyle w:val="Strong"/>
          <w:rFonts w:ascii="Georgia" w:hAnsi="Georgia"/>
          <w:sz w:val="24"/>
          <w:szCs w:val="24"/>
        </w:rPr>
        <w:t>Lack of Economic Diversification:</w:t>
      </w:r>
      <w:r w:rsidRPr="00F116EA">
        <w:rPr>
          <w:rFonts w:ascii="Georgia" w:hAnsi="Georgia"/>
          <w:sz w:val="24"/>
          <w:szCs w:val="24"/>
        </w:rPr>
        <w:t xml:space="preserve"> African economies remain heavily reliant on vulnerable sectors, making them susceptible to climate change impacts. A shift towards low-emission, climate-resilient income sources is imperative. To accelerate this transition, countries must phase out fossil fuel subsidies, implement efficient taxation policies, and update their NDCs with ambitious targets for reducing fossil fuel dependence.</w:t>
      </w:r>
    </w:p>
    <w:p w:rsidR="00F46C29" w:rsidRPr="00F116EA" w:rsidRDefault="00B57E3D" w:rsidP="00E36A0A">
      <w:pPr>
        <w:spacing w:line="276" w:lineRule="auto"/>
        <w:jc w:val="both"/>
        <w:rPr>
          <w:rFonts w:ascii="Georgia" w:hAnsi="Georgia"/>
          <w:sz w:val="24"/>
          <w:szCs w:val="24"/>
          <w:lang w:val="en-US"/>
        </w:rPr>
      </w:pPr>
      <w:r w:rsidRPr="00F116EA">
        <w:rPr>
          <w:rStyle w:val="Strong"/>
          <w:rFonts w:ascii="Georgia" w:hAnsi="Georgia"/>
          <w:sz w:val="24"/>
          <w:szCs w:val="24"/>
        </w:rPr>
        <w:t>Shortage of Green Jobs:</w:t>
      </w:r>
      <w:r w:rsidRPr="00F116EA">
        <w:rPr>
          <w:rFonts w:ascii="Georgia" w:hAnsi="Georgia"/>
          <w:sz w:val="24"/>
          <w:szCs w:val="24"/>
        </w:rPr>
        <w:t xml:space="preserve"> Africa faces a significant dearth of employment opportunities in the environmental conservation and restoration sectors. </w:t>
      </w:r>
      <w:r w:rsidRPr="00F116EA">
        <w:rPr>
          <w:rFonts w:ascii="Georgia" w:hAnsi="Georgia"/>
          <w:sz w:val="24"/>
          <w:szCs w:val="24"/>
        </w:rPr>
        <w:lastRenderedPageBreak/>
        <w:t>Furthermore, governments have provided insufficient incentives for businesses to adopt climate-friendly practices, such as renewable energy and energy efficiency. To address this, recovery spending should prioritize the creation of green jobs in renewable energy, conservation, and sustainable tourism. These sectors not only support NDC implementation but also contribute to broader sustainable development goals and economic growth through innovation and investment in sustainable infrastructure.</w:t>
      </w:r>
    </w:p>
    <w:p w:rsidR="00F46C29" w:rsidRPr="00F116EA" w:rsidRDefault="00B57E3D" w:rsidP="00E36A0A">
      <w:pPr>
        <w:spacing w:line="276" w:lineRule="auto"/>
        <w:jc w:val="both"/>
        <w:rPr>
          <w:rFonts w:ascii="Georgia" w:hAnsi="Georgia"/>
          <w:sz w:val="24"/>
          <w:szCs w:val="24"/>
          <w:lang w:val="en-US"/>
        </w:rPr>
      </w:pPr>
      <w:r w:rsidRPr="00F116EA">
        <w:rPr>
          <w:rStyle w:val="Strong"/>
          <w:rFonts w:ascii="Georgia" w:hAnsi="Georgia"/>
          <w:sz w:val="24"/>
          <w:szCs w:val="24"/>
        </w:rPr>
        <w:t>Habitat Destruction and Deforestation:</w:t>
      </w:r>
      <w:r w:rsidRPr="00F116EA">
        <w:rPr>
          <w:rFonts w:ascii="Georgia" w:hAnsi="Georgia"/>
          <w:sz w:val="24"/>
          <w:szCs w:val="24"/>
        </w:rPr>
        <w:t xml:space="preserve"> Widespread habitat destruction and deforestation, driven by agriculture, infrastructure development, and resource extraction, pose significant challenges to biodiversity conservation and climate resilience in Africa. Fragmentation of habitats disrupts ecosystems and hinders wildlife migration, while deforestation exacerbates climate change, water scarcity, soil erosion, and food insecurity. African governments must prioritize halting deforestation and habitat loss, ensuring the protection of indigenous peoples' rights and livelihoods, and empowering local communities in land and water management.</w:t>
      </w:r>
    </w:p>
    <w:p w:rsidR="00F46C29" w:rsidRPr="00F116EA" w:rsidRDefault="00B57E3D" w:rsidP="00E36A0A">
      <w:pPr>
        <w:spacing w:line="276" w:lineRule="auto"/>
        <w:jc w:val="both"/>
        <w:rPr>
          <w:rFonts w:ascii="Georgia" w:hAnsi="Georgia"/>
          <w:sz w:val="24"/>
          <w:szCs w:val="24"/>
          <w:lang w:val="en-US"/>
        </w:rPr>
      </w:pPr>
      <w:r w:rsidRPr="00F116EA">
        <w:rPr>
          <w:rStyle w:val="Strong"/>
          <w:rFonts w:ascii="Georgia" w:hAnsi="Georgia"/>
          <w:sz w:val="24"/>
          <w:szCs w:val="24"/>
        </w:rPr>
        <w:t>Insufficient Climate Ambition:</w:t>
      </w:r>
      <w:r w:rsidRPr="00F116EA">
        <w:rPr>
          <w:rFonts w:ascii="Georgia" w:hAnsi="Georgia"/>
          <w:sz w:val="24"/>
          <w:szCs w:val="24"/>
        </w:rPr>
        <w:t xml:space="preserve"> While Africa is disproportionately vulnerable to climate change, some countries have yet to fully commit to ambitious climate action by signing and ratifying international agreements like the Paris Agreement. To address this, African nations must prioritize the development and implementation of comprehensive NDCs. These should include robust adaptation strategies, such as ecosystem restoration (including mangroves and community-managed forests), to build resilience and create sustainable development opportunities.</w:t>
      </w:r>
    </w:p>
    <w:p w:rsidR="00F46C29" w:rsidRPr="00F116EA" w:rsidRDefault="00B57E3D" w:rsidP="00E36A0A">
      <w:pPr>
        <w:spacing w:line="276" w:lineRule="auto"/>
        <w:jc w:val="both"/>
        <w:rPr>
          <w:rFonts w:ascii="Georgia" w:hAnsi="Georgia"/>
          <w:b/>
          <w:sz w:val="24"/>
          <w:szCs w:val="24"/>
          <w:lang w:val="en-US"/>
        </w:rPr>
      </w:pPr>
      <w:r w:rsidRPr="00F116EA">
        <w:rPr>
          <w:rStyle w:val="Strong"/>
          <w:rFonts w:ascii="Georgia" w:hAnsi="Georgia"/>
          <w:sz w:val="24"/>
          <w:szCs w:val="24"/>
        </w:rPr>
        <w:t>Repositioning Renewable Energy:</w:t>
      </w:r>
      <w:r w:rsidRPr="00F116EA">
        <w:rPr>
          <w:rFonts w:ascii="Georgia" w:hAnsi="Georgia"/>
          <w:sz w:val="24"/>
          <w:szCs w:val="24"/>
        </w:rPr>
        <w:t xml:space="preserve"> Energy stakeholders should elevate the strategic importance of renewable energy in development. By prioritizing renewable energy as a cornerstone for replacing fossil fuels, countries can significantly reduce greenhouse gas emissions and accelerate progress towards sustainability. Rather than viewing renewable energy as a marginal contributor, it should be recognized as a vital driver of economic growth, environmental protection, and energy security.</w:t>
      </w:r>
      <w:r w:rsidR="00F46C29" w:rsidRPr="00F116EA">
        <w:rPr>
          <w:rFonts w:ascii="Georgia" w:hAnsi="Georgia"/>
          <w:sz w:val="24"/>
          <w:szCs w:val="24"/>
          <w:lang w:val="en-US"/>
        </w:rPr>
        <w:t xml:space="preserve"> </w:t>
      </w:r>
    </w:p>
    <w:p w:rsidR="00F46C29" w:rsidRPr="00F116EA" w:rsidRDefault="00B57E3D" w:rsidP="00E36A0A">
      <w:pPr>
        <w:spacing w:line="276" w:lineRule="auto"/>
        <w:jc w:val="both"/>
        <w:rPr>
          <w:rFonts w:ascii="Georgia" w:hAnsi="Georgia"/>
          <w:sz w:val="24"/>
          <w:szCs w:val="24"/>
          <w:lang w:val="en-US"/>
        </w:rPr>
      </w:pPr>
      <w:r w:rsidRPr="00F116EA">
        <w:rPr>
          <w:rStyle w:val="Strong"/>
          <w:rFonts w:ascii="Georgia" w:hAnsi="Georgia"/>
          <w:sz w:val="24"/>
          <w:szCs w:val="24"/>
        </w:rPr>
        <w:t>Inadequate Stakeholder Engagement:</w:t>
      </w:r>
      <w:r w:rsidRPr="00F116EA">
        <w:rPr>
          <w:rFonts w:ascii="Georgia" w:hAnsi="Georgia"/>
          <w:sz w:val="24"/>
          <w:szCs w:val="24"/>
        </w:rPr>
        <w:t xml:space="preserve"> Renewable energy policies and programs in Africa often lack comprehensive stakeholder involvement. Insufficient consumer education and limited political support hinder the successful implementation of these initiatives. In contrast, developed countries have demonstrated the effectiveness of inter-sectoral collaboration. To achieve similar success in Africa, policymakers must prioritize inclusive planning and implementation processes. Deliberate strategies for consumer education and participation are crucial for fostering widespread acceptance and long-term sustainability of renewable energy initiatives.</w:t>
      </w:r>
    </w:p>
    <w:p w:rsidR="00F46C29" w:rsidRPr="00F116EA" w:rsidRDefault="00B57E3D" w:rsidP="00E36A0A">
      <w:pPr>
        <w:spacing w:line="276" w:lineRule="auto"/>
        <w:jc w:val="both"/>
        <w:rPr>
          <w:rFonts w:ascii="Georgia" w:hAnsi="Georgia"/>
          <w:sz w:val="24"/>
          <w:szCs w:val="24"/>
          <w:lang w:val="en-US"/>
        </w:rPr>
      </w:pPr>
      <w:r w:rsidRPr="00F116EA">
        <w:rPr>
          <w:rStyle w:val="Strong"/>
          <w:rFonts w:ascii="Georgia" w:hAnsi="Georgia"/>
          <w:sz w:val="24"/>
          <w:szCs w:val="24"/>
        </w:rPr>
        <w:t>Economic and Financial Constraints:</w:t>
      </w:r>
      <w:r w:rsidRPr="00F116EA">
        <w:rPr>
          <w:rFonts w:ascii="Georgia" w:hAnsi="Georgia"/>
          <w:sz w:val="24"/>
          <w:szCs w:val="24"/>
        </w:rPr>
        <w:t xml:space="preserve"> High upfront costs associated with many renewable energy technologies pose a significant barrier to adoption. This, coupled with the perceived higher financial risks of renewable energy projects compared to conventional energy sources, leads to limited investment from capital markets and lending institutions. Consequently, renewable energy projects often face higher interest rates or even a complete lack of financing options. Furthermore, import tariffs </w:t>
      </w:r>
      <w:r w:rsidRPr="00F116EA">
        <w:rPr>
          <w:rFonts w:ascii="Georgia" w:hAnsi="Georgia"/>
          <w:sz w:val="24"/>
          <w:szCs w:val="24"/>
        </w:rPr>
        <w:lastRenderedPageBreak/>
        <w:t>and value-added taxes on renewable energy equipment, classified as luxury items in many developing countries, further inflate project costs.</w:t>
      </w:r>
    </w:p>
    <w:p w:rsidR="00F46C29" w:rsidRPr="00F116EA" w:rsidRDefault="00FB614C" w:rsidP="00E36A0A">
      <w:pPr>
        <w:spacing w:line="276" w:lineRule="auto"/>
        <w:jc w:val="both"/>
        <w:rPr>
          <w:rFonts w:ascii="Georgia" w:hAnsi="Georgia"/>
          <w:sz w:val="24"/>
          <w:szCs w:val="24"/>
          <w:lang w:val="en-US"/>
        </w:rPr>
      </w:pPr>
      <w:r w:rsidRPr="00F116EA">
        <w:rPr>
          <w:rStyle w:val="Strong"/>
          <w:rFonts w:ascii="Georgia" w:hAnsi="Georgia"/>
          <w:sz w:val="24"/>
          <w:szCs w:val="24"/>
        </w:rPr>
        <w:t>Technological Barriers:</w:t>
      </w:r>
      <w:r w:rsidRPr="00F116EA">
        <w:rPr>
          <w:rFonts w:ascii="Georgia" w:hAnsi="Georgia"/>
          <w:sz w:val="24"/>
          <w:szCs w:val="24"/>
        </w:rPr>
        <w:t xml:space="preserve"> While developed nations possess robust research and development (R&amp;D) capabilities in renewable energy technologies (RETs), African countries face significant limitations due to underinvestment in this area. Despite the availability of skilled personnel, the absence of substantial R&amp;D hinders the widespread adoption and localization of RETs. Challenges arising from technology transfer, such as waste management and long-term maintenance, further compound these issues. To overcome these hurdles, African countries must prioritize R&amp;D focused on the adaptation of RETs to local conditions. By conducting applied research and assessing the cost-effectiveness of various technologies, policymakers can make informed decisions, incentivize consumer adoption, and foster a conducive market environment.</w:t>
      </w:r>
    </w:p>
    <w:p w:rsidR="00F46C29" w:rsidRPr="00F116EA" w:rsidRDefault="00FB614C" w:rsidP="00E36A0A">
      <w:pPr>
        <w:spacing w:line="276" w:lineRule="auto"/>
        <w:jc w:val="both"/>
        <w:rPr>
          <w:rFonts w:ascii="Georgia" w:hAnsi="Georgia"/>
          <w:sz w:val="24"/>
          <w:szCs w:val="24"/>
          <w:lang w:val="en-US"/>
        </w:rPr>
      </w:pPr>
      <w:r w:rsidRPr="00F116EA">
        <w:rPr>
          <w:rStyle w:val="Strong"/>
          <w:rFonts w:ascii="Georgia" w:hAnsi="Georgia"/>
          <w:sz w:val="24"/>
          <w:szCs w:val="24"/>
        </w:rPr>
        <w:t>Human Capital Constraints:</w:t>
      </w:r>
      <w:r w:rsidRPr="00F116EA">
        <w:rPr>
          <w:rFonts w:ascii="Georgia" w:hAnsi="Georgia"/>
          <w:sz w:val="24"/>
          <w:szCs w:val="24"/>
        </w:rPr>
        <w:t xml:space="preserve"> The renewable energy sector demands a diverse skillset, yet developing countries often struggle to cultivate this talent pool. Governments must prioritize education and training initiatives to bridge this gap. While some skills overlap with the conventional energy sector, others are specific to renewable technologies. To optimize workforce development, countries should conduct skills assessments, identify shortages, and tailor training programs accordingly. Integrating renewable energy considerations into broader labour policies, such as job matching services and employment focus areas, can further enhance workforce preparedness. Collaborative efforts among governments, businesses, and labour unions are essential for effectively addressing skills challenges.</w:t>
      </w:r>
    </w:p>
    <w:p w:rsidR="00F46C29" w:rsidRPr="00F116EA" w:rsidRDefault="00FB614C" w:rsidP="00E36A0A">
      <w:pPr>
        <w:spacing w:line="276" w:lineRule="auto"/>
        <w:jc w:val="both"/>
        <w:rPr>
          <w:rFonts w:ascii="Georgia" w:hAnsi="Georgia"/>
          <w:sz w:val="24"/>
          <w:szCs w:val="24"/>
          <w:lang w:val="en-US"/>
        </w:rPr>
      </w:pPr>
      <w:r w:rsidRPr="00F116EA">
        <w:rPr>
          <w:rStyle w:val="Strong"/>
          <w:rFonts w:ascii="Georgia" w:hAnsi="Georgia"/>
          <w:sz w:val="24"/>
          <w:szCs w:val="24"/>
        </w:rPr>
        <w:t>Weak Legal and Regulatory Framework:</w:t>
      </w:r>
      <w:r w:rsidRPr="00F116EA">
        <w:rPr>
          <w:rFonts w:ascii="Georgia" w:hAnsi="Georgia"/>
          <w:sz w:val="24"/>
          <w:szCs w:val="24"/>
        </w:rPr>
        <w:t xml:space="preserve"> While industrialized nations benefit from comprehensive energy legislation and independent regulatory bodies, many African countries lack a supportive legal and regulatory environment for the renewable energy sector. Existing regulatory bodies often prioritize non-renewable energy sources, hindering the growth of renewables. Without clear energy policies, appropriate regulations, and institutional capacity, attracting private investment and fostering competition in the renewable energy market becomes significantly challenging. Developing and implementing a robust legal framework is crucial to unlocking the potential of renewable energy and diversifying the energy mix away from traditional energy sources.</w:t>
      </w:r>
    </w:p>
    <w:p w:rsidR="00F46C29" w:rsidRPr="00F116EA" w:rsidRDefault="00E36A0A" w:rsidP="00E36A0A">
      <w:pPr>
        <w:spacing w:line="276" w:lineRule="auto"/>
        <w:jc w:val="both"/>
        <w:rPr>
          <w:rFonts w:ascii="Georgia" w:hAnsi="Georgia"/>
          <w:sz w:val="24"/>
          <w:szCs w:val="24"/>
          <w:lang w:val="en-US"/>
        </w:rPr>
      </w:pPr>
      <w:r w:rsidRPr="00F116EA">
        <w:rPr>
          <w:rFonts w:ascii="Georgia" w:hAnsi="Georgia"/>
          <w:sz w:val="24"/>
          <w:szCs w:val="24"/>
        </w:rPr>
        <w:t xml:space="preserve"> </w:t>
      </w:r>
      <w:r w:rsidRPr="00F116EA">
        <w:rPr>
          <w:rFonts w:ascii="Georgia" w:hAnsi="Georgia"/>
          <w:b/>
          <w:bCs/>
          <w:sz w:val="24"/>
          <w:szCs w:val="24"/>
        </w:rPr>
        <w:t>Leveraging Public-Private Partnerships</w:t>
      </w:r>
      <w:r w:rsidRPr="00F116EA">
        <w:rPr>
          <w:rStyle w:val="Strong"/>
          <w:rFonts w:ascii="Georgia" w:hAnsi="Georgia"/>
          <w:sz w:val="24"/>
          <w:szCs w:val="24"/>
        </w:rPr>
        <w:t>:</w:t>
      </w:r>
      <w:r w:rsidRPr="00F116EA">
        <w:rPr>
          <w:rFonts w:ascii="Georgia" w:hAnsi="Georgia"/>
          <w:sz w:val="24"/>
          <w:szCs w:val="24"/>
        </w:rPr>
        <w:t xml:space="preserve"> To effectively leverage private sector efficiency and innovation in the renewable energy sector, African governments should transition from an ownership role to a facilitative one. By acting as brokers, governments can create an enabling environment that attracts private energy companies, financial institutions, technology providers, and donors. This shift empowers the private sector to drive renewable energy development and implementation while governments focus on establishing clear policies, regulations, and incentives. A conducive environment is crucial for stimulating private sector investment in the often-perceived risky and complex renewable energy landscape.</w:t>
      </w:r>
    </w:p>
    <w:p w:rsidR="00F46C29" w:rsidRPr="00F116EA" w:rsidRDefault="00F46C29" w:rsidP="00E36A0A">
      <w:pPr>
        <w:spacing w:line="276" w:lineRule="auto"/>
        <w:jc w:val="both"/>
        <w:rPr>
          <w:rFonts w:ascii="Georgia" w:hAnsi="Georgia"/>
          <w:b/>
          <w:sz w:val="24"/>
          <w:szCs w:val="24"/>
          <w:lang w:val="en-US"/>
        </w:rPr>
      </w:pPr>
      <w:r w:rsidRPr="00F116EA">
        <w:rPr>
          <w:rFonts w:ascii="Georgia" w:hAnsi="Georgia"/>
          <w:b/>
          <w:sz w:val="24"/>
          <w:szCs w:val="24"/>
          <w:lang w:val="en-US"/>
        </w:rPr>
        <w:lastRenderedPageBreak/>
        <w:t>Conclusion</w:t>
      </w:r>
    </w:p>
    <w:p w:rsidR="00F46C29" w:rsidRPr="00F116EA" w:rsidRDefault="00E36A0A" w:rsidP="00E36A0A">
      <w:pPr>
        <w:spacing w:line="276" w:lineRule="auto"/>
        <w:jc w:val="both"/>
        <w:rPr>
          <w:rFonts w:ascii="Georgia" w:hAnsi="Georgia"/>
          <w:sz w:val="24"/>
          <w:szCs w:val="24"/>
          <w:lang w:val="en-US"/>
        </w:rPr>
      </w:pPr>
      <w:r w:rsidRPr="00F116EA">
        <w:rPr>
          <w:rFonts w:ascii="Georgia" w:hAnsi="Georgia"/>
          <w:sz w:val="24"/>
          <w:szCs w:val="24"/>
        </w:rPr>
        <w:t>Sub-Saharan Africa possesses immense renewable energy potential, offering a pathway to sustainable development, economic growth, and climate resilience. Realizing this potential requires a conducive environment characterized by supportive policies, adequate financing, technology transfer, and capacity building. NDCs should prioritize investments in renewable energy sources, such as solar, wind, and hydropower, to diversify energy portfolios, reduce greenhouse gas emissions, and enhance energy access. By addressing the challenges outlined in this paper and capitalizing on the opportunities presented by renewable energy, African countries can embark on a transformative journey towards a cleaner, more prosperous future.</w:t>
      </w:r>
    </w:p>
    <w:p w:rsidR="00F46C29" w:rsidRPr="00F116EA" w:rsidRDefault="00F46C29" w:rsidP="00E36A0A">
      <w:pPr>
        <w:spacing w:line="276" w:lineRule="auto"/>
        <w:jc w:val="both"/>
        <w:rPr>
          <w:rFonts w:ascii="Georgia" w:hAnsi="Georgia"/>
          <w:sz w:val="24"/>
          <w:szCs w:val="24"/>
          <w:lang w:val="en-US"/>
        </w:rPr>
      </w:pPr>
    </w:p>
    <w:p w:rsidR="00F46C29" w:rsidRPr="005F5809" w:rsidRDefault="003879DC" w:rsidP="00E36A0A">
      <w:pPr>
        <w:spacing w:line="276" w:lineRule="auto"/>
        <w:jc w:val="both"/>
        <w:rPr>
          <w:rFonts w:ascii="Georgia" w:hAnsi="Georgia"/>
          <w:b/>
          <w:color w:val="002060"/>
          <w:sz w:val="24"/>
          <w:szCs w:val="24"/>
          <w:lang w:val="en-US"/>
        </w:rPr>
      </w:pPr>
      <w:r w:rsidRPr="005F5809">
        <w:rPr>
          <mc:AlternateContent>
            <mc:Choice Requires="w16se">
              <w:rFonts w:ascii="Georgia" w:hAnsi="Georgia"/>
            </mc:Choice>
            <mc:Fallback>
              <w:rFonts w:ascii="Segoe UI Emoji" w:eastAsia="Segoe UI Emoji" w:hAnsi="Segoe UI Emoji" w:cs="Segoe UI Emoji"/>
            </mc:Fallback>
          </mc:AlternateContent>
          <w:b/>
          <w:color w:val="002060"/>
          <w:sz w:val="24"/>
          <w:szCs w:val="24"/>
          <w:lang w:val="en-US"/>
        </w:rPr>
        <mc:AlternateContent>
          <mc:Choice Requires="w16se">
            <w16se:symEx w16se:font="Segoe UI Emoji" w16se:char="00A9"/>
          </mc:Choice>
          <mc:Fallback>
            <w:t>©</w:t>
          </mc:Fallback>
        </mc:AlternateContent>
      </w:r>
      <w:r w:rsidRPr="005F5809">
        <w:rPr>
          <w:rFonts w:ascii="Georgia" w:hAnsi="Georgia"/>
          <w:b/>
          <w:color w:val="002060"/>
          <w:sz w:val="24"/>
          <w:szCs w:val="24"/>
          <w:lang w:val="en-US"/>
        </w:rPr>
        <w:t>ARIN Press</w:t>
      </w:r>
    </w:p>
    <w:p w:rsidR="00F46C29" w:rsidRPr="00F116EA" w:rsidRDefault="00F46C29" w:rsidP="00E36A0A">
      <w:pPr>
        <w:spacing w:line="276" w:lineRule="auto"/>
        <w:jc w:val="both"/>
        <w:rPr>
          <w:rFonts w:ascii="Georgia" w:hAnsi="Georgia"/>
          <w:sz w:val="24"/>
          <w:szCs w:val="24"/>
          <w:lang w:val="en-US"/>
        </w:rPr>
      </w:pPr>
    </w:p>
    <w:p w:rsidR="00F46C29" w:rsidRPr="00F116EA" w:rsidRDefault="00F46C29" w:rsidP="00E36A0A">
      <w:pPr>
        <w:spacing w:line="276" w:lineRule="auto"/>
        <w:jc w:val="both"/>
        <w:rPr>
          <w:rFonts w:ascii="Georgia" w:hAnsi="Georgia"/>
          <w:sz w:val="24"/>
          <w:szCs w:val="24"/>
          <w:lang w:val="en-US"/>
        </w:rPr>
      </w:pPr>
      <w:bookmarkStart w:id="0" w:name="_GoBack"/>
      <w:bookmarkEnd w:id="0"/>
    </w:p>
    <w:p w:rsidR="00F46C29" w:rsidRPr="00F116EA" w:rsidRDefault="00F46C29" w:rsidP="00E36A0A">
      <w:pPr>
        <w:spacing w:line="276" w:lineRule="auto"/>
        <w:jc w:val="both"/>
        <w:rPr>
          <w:rFonts w:ascii="Georgia" w:hAnsi="Georgia"/>
          <w:sz w:val="24"/>
          <w:szCs w:val="24"/>
          <w:lang w:val="en-US"/>
        </w:rPr>
      </w:pPr>
    </w:p>
    <w:p w:rsidR="00F46C29" w:rsidRPr="00F116EA" w:rsidRDefault="00F46C29" w:rsidP="00E36A0A">
      <w:pPr>
        <w:spacing w:line="276" w:lineRule="auto"/>
        <w:jc w:val="both"/>
        <w:rPr>
          <w:rFonts w:ascii="Georgia" w:hAnsi="Georgia"/>
          <w:sz w:val="24"/>
          <w:szCs w:val="24"/>
          <w:lang w:val="en-US"/>
        </w:rPr>
      </w:pPr>
    </w:p>
    <w:p w:rsidR="00F46C29" w:rsidRPr="00F116EA" w:rsidRDefault="00F46C29" w:rsidP="00E36A0A">
      <w:pPr>
        <w:spacing w:line="276" w:lineRule="auto"/>
        <w:jc w:val="both"/>
        <w:rPr>
          <w:rFonts w:ascii="Georgia" w:hAnsi="Georgia"/>
          <w:sz w:val="24"/>
          <w:szCs w:val="24"/>
          <w:lang w:val="en-US"/>
        </w:rPr>
      </w:pPr>
    </w:p>
    <w:p w:rsidR="00F46C29" w:rsidRPr="00F116EA" w:rsidRDefault="00F46C29" w:rsidP="00E36A0A">
      <w:pPr>
        <w:spacing w:line="276" w:lineRule="auto"/>
        <w:jc w:val="both"/>
        <w:rPr>
          <w:rFonts w:ascii="Georgia" w:hAnsi="Georgia"/>
          <w:sz w:val="24"/>
          <w:szCs w:val="24"/>
          <w:lang w:val="en-US"/>
        </w:rPr>
      </w:pPr>
    </w:p>
    <w:p w:rsidR="00F46C29" w:rsidRPr="00F116EA" w:rsidRDefault="00F46C29" w:rsidP="00E36A0A">
      <w:pPr>
        <w:spacing w:line="276" w:lineRule="auto"/>
        <w:jc w:val="both"/>
        <w:rPr>
          <w:rFonts w:ascii="Georgia" w:hAnsi="Georgia"/>
          <w:sz w:val="24"/>
          <w:szCs w:val="24"/>
          <w:lang w:val="en-US"/>
        </w:rPr>
      </w:pPr>
    </w:p>
    <w:p w:rsidR="00F46C29" w:rsidRPr="00F116EA" w:rsidRDefault="00F46C29" w:rsidP="00E36A0A">
      <w:pPr>
        <w:spacing w:line="276" w:lineRule="auto"/>
        <w:jc w:val="both"/>
        <w:rPr>
          <w:rFonts w:ascii="Georgia" w:hAnsi="Georgia"/>
          <w:sz w:val="24"/>
          <w:szCs w:val="24"/>
          <w:lang w:val="en-US"/>
        </w:rPr>
      </w:pPr>
    </w:p>
    <w:p w:rsidR="00F46C29" w:rsidRPr="00F116EA" w:rsidRDefault="00F46C29" w:rsidP="00E36A0A">
      <w:pPr>
        <w:spacing w:line="276" w:lineRule="auto"/>
        <w:jc w:val="both"/>
        <w:rPr>
          <w:rFonts w:ascii="Georgia" w:hAnsi="Georgia"/>
          <w:sz w:val="24"/>
          <w:szCs w:val="24"/>
          <w:lang w:val="en-US"/>
        </w:rPr>
      </w:pPr>
    </w:p>
    <w:p w:rsidR="00F46C29" w:rsidRPr="00F116EA" w:rsidRDefault="00F46C29" w:rsidP="00E36A0A">
      <w:pPr>
        <w:spacing w:line="276" w:lineRule="auto"/>
        <w:jc w:val="both"/>
        <w:rPr>
          <w:rFonts w:ascii="Georgia" w:hAnsi="Georgia"/>
          <w:sz w:val="24"/>
          <w:szCs w:val="24"/>
          <w:lang w:val="en-US"/>
        </w:rPr>
      </w:pPr>
    </w:p>
    <w:p w:rsidR="00F46C29" w:rsidRPr="00F116EA" w:rsidRDefault="00F46C29" w:rsidP="00E36A0A">
      <w:pPr>
        <w:spacing w:line="276" w:lineRule="auto"/>
        <w:jc w:val="both"/>
        <w:rPr>
          <w:rFonts w:ascii="Georgia" w:hAnsi="Georgia"/>
          <w:sz w:val="24"/>
          <w:szCs w:val="24"/>
          <w:lang w:val="en-US"/>
        </w:rPr>
      </w:pPr>
    </w:p>
    <w:p w:rsidR="00262C15" w:rsidRPr="00F116EA" w:rsidRDefault="005F5809" w:rsidP="00F116EA">
      <w:pPr>
        <w:jc w:val="both"/>
        <w:rPr>
          <w:rFonts w:ascii="Georgia" w:hAnsi="Georgia"/>
          <w:sz w:val="24"/>
          <w:szCs w:val="24"/>
        </w:rPr>
      </w:pPr>
    </w:p>
    <w:sectPr w:rsidR="00262C15" w:rsidRPr="00F116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29"/>
    <w:rsid w:val="0000538F"/>
    <w:rsid w:val="00066375"/>
    <w:rsid w:val="002F1F31"/>
    <w:rsid w:val="003879DC"/>
    <w:rsid w:val="00594A7D"/>
    <w:rsid w:val="005B2A65"/>
    <w:rsid w:val="005F5809"/>
    <w:rsid w:val="00A80348"/>
    <w:rsid w:val="00B0617E"/>
    <w:rsid w:val="00B2614A"/>
    <w:rsid w:val="00B57E3D"/>
    <w:rsid w:val="00D46FDB"/>
    <w:rsid w:val="00D915EB"/>
    <w:rsid w:val="00E36A0A"/>
    <w:rsid w:val="00E36F07"/>
    <w:rsid w:val="00F116EA"/>
    <w:rsid w:val="00F46C29"/>
    <w:rsid w:val="00F826CC"/>
    <w:rsid w:val="00FB6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79371"/>
  <w15:chartTrackingRefBased/>
  <w15:docId w15:val="{B7BD8481-F6F8-4354-B83A-484CD0F1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C29"/>
    <w:rPr>
      <w:rFonts w:ascii="Calibri" w:eastAsia="Calibri" w:hAnsi="Calibri" w:cs="Times New Roman"/>
    </w:rPr>
  </w:style>
  <w:style w:type="paragraph" w:styleId="Heading4">
    <w:name w:val="heading 4"/>
    <w:basedOn w:val="Normal"/>
    <w:next w:val="Normal"/>
    <w:link w:val="Heading4Char"/>
    <w:uiPriority w:val="9"/>
    <w:semiHidden/>
    <w:unhideWhenUsed/>
    <w:qFormat/>
    <w:rsid w:val="00B061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0617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B06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269880">
      <w:bodyDiv w:val="1"/>
      <w:marLeft w:val="0"/>
      <w:marRight w:val="0"/>
      <w:marTop w:val="0"/>
      <w:marBottom w:val="0"/>
      <w:divBdr>
        <w:top w:val="none" w:sz="0" w:space="0" w:color="auto"/>
        <w:left w:val="none" w:sz="0" w:space="0" w:color="auto"/>
        <w:bottom w:val="none" w:sz="0" w:space="0" w:color="auto"/>
        <w:right w:val="none" w:sz="0" w:space="0" w:color="auto"/>
      </w:divBdr>
    </w:div>
    <w:div w:id="12735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2024-07-29T18:26:00Z</dcterms:created>
  <dcterms:modified xsi:type="dcterms:W3CDTF">2024-07-29T18:26:00Z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0c8e220ae0961c13ea360143718d5314316736ce87705035ded2ffefce15de5b</vt:lpwstr>
  </property>
</Properties>
</file>